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49" w:rsidRDefault="00790249" w:rsidP="001527E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instrText xml:space="preserve"> HYPERLINK "</w:instrText>
      </w:r>
      <w:r w:rsidRPr="007902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instrText>http://filling-form.ru/blank_zayav/24658/index.html</w:instrTex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fldChar w:fldCharType="separate"/>
      </w:r>
      <w:r w:rsidRPr="00045E13">
        <w:rPr>
          <w:rStyle w:val="a3"/>
          <w:rFonts w:ascii="Arial" w:eastAsia="Times New Roman" w:hAnsi="Arial" w:cs="Arial"/>
          <w:bCs/>
          <w:sz w:val="24"/>
          <w:szCs w:val="24"/>
          <w:lang w:eastAsia="ru-RU"/>
        </w:rPr>
        <w:t>http://filling-form.ru/blank_zayav/24658/index.html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fldChar w:fldCharType="end"/>
      </w:r>
    </w:p>
    <w:p w:rsidR="00790249" w:rsidRPr="00790249" w:rsidRDefault="00790249" w:rsidP="00790249">
      <w:pPr>
        <w:spacing w:after="150" w:line="240" w:lineRule="auto"/>
        <w:ind w:left="1050" w:right="-6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790249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15 мая- международный день сознательных отказчиков от военной службы.</w:t>
      </w:r>
    </w:p>
    <w:p w:rsidR="00790249" w:rsidRPr="00790249" w:rsidRDefault="00790249" w:rsidP="00790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 мая- Международный день сознательных отказчиков от военной службы. День </w:t>
      </w:r>
      <w:proofErr w:type="spellStart"/>
      <w:r w:rsidRPr="0079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  <w:proofErr w:type="spellEnd"/>
      <w:r w:rsidRPr="0079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1981году на съезде отказчиков в Копенгагене.</w:t>
      </w:r>
    </w:p>
    <w:p w:rsidR="00790249" w:rsidRPr="00790249" w:rsidRDefault="00790249" w:rsidP="00790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мая 1992 года были опубликованы поправки еще в прежнюю Конституцию РФ, и с этого дня у каждого гражданина России, подлежащего призыву, появился выбор: идти в армию или отказаться от этого по убеждениям совести.</w:t>
      </w:r>
    </w:p>
    <w:p w:rsidR="00790249" w:rsidRPr="00790249" w:rsidRDefault="00790249" w:rsidP="00790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Конституции РФ 1993 г право гражданина на отказ от военной службы по убеждениям закреплено в ст. 59.3: «Гражданин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</w:t>
      </w:r>
      <w:proofErr w:type="spellStart"/>
      <w:r w:rsidRPr="0079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proofErr w:type="spellEnd"/>
      <w:r w:rsidRPr="0079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альтернативной гражданской службой».</w:t>
      </w:r>
    </w:p>
    <w:p w:rsidR="00790249" w:rsidRPr="00790249" w:rsidRDefault="00790249" w:rsidP="007902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0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2002 г – принят федеральный закон «Об альтернативной гражданской службе» (ФЗ-113). Вступил в силу в 2004г.</w:t>
      </w:r>
    </w:p>
    <w:p w:rsidR="00E4688F" w:rsidRPr="001527EE" w:rsidRDefault="00E4688F" w:rsidP="001649E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C1235B" w:rsidRDefault="00E4688F" w:rsidP="00E4688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E468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Сознательный отказ от военной службы - перевод общепринятого в европейских языках выражения </w:t>
      </w:r>
      <w:proofErr w:type="spellStart"/>
      <w:r w:rsidRPr="00E468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conscientious</w:t>
      </w:r>
      <w:proofErr w:type="spellEnd"/>
      <w:r w:rsidRPr="00E468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E468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objection</w:t>
      </w:r>
      <w:proofErr w:type="spellEnd"/>
      <w:r w:rsidRPr="00E468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(СО). В русском языке больше распространено выражение «отказ от военной службы по убеждениям». </w:t>
      </w:r>
    </w:p>
    <w:p w:rsidR="00E4688F" w:rsidRDefault="00E4688F" w:rsidP="00E4688F">
      <w:pPr>
        <w:rPr>
          <w:b/>
          <w:bCs/>
        </w:rPr>
      </w:pPr>
      <w:r>
        <w:t>В 1960 – 80 –</w:t>
      </w:r>
      <w:proofErr w:type="spellStart"/>
      <w:r>
        <w:t>ых</w:t>
      </w:r>
      <w:proofErr w:type="spellEnd"/>
      <w:r>
        <w:t xml:space="preserve"> годах в европейских странах существовал такой же принцип формирования армии, как сейчас в России – по призыву. Постепенно в сознании все большего и большего количества людей укреплялась мысль о том, что нельзя загонять человека в армию против его воли. Наиболее решительно настроенные молодые люди отказывались идти в армию. В качестве компромиссного решения государства стали вводить альтернативную гражданскую службу, а со временем большинство из них отказалось от призывных армий.</w:t>
      </w:r>
      <w:r>
        <w:br/>
      </w:r>
      <w:r>
        <w:br/>
        <w:t>В 1979 г в Брюсселе на съезде представителей объединений и групп из разных европейских стран, отстаивающих права людей на отказ от военной службы по убеждениям, образовалась «зонтичную» организация Европейское бюро по сознательному отказу, рабочим органом которого стал Международный секретариат. </w:t>
      </w:r>
      <w:r>
        <w:br/>
      </w:r>
      <w:r>
        <w:br/>
        <w:t xml:space="preserve">Целью организации было с одной стороны, организация кампаний поддержки тех, кто был </w:t>
      </w:r>
      <w:proofErr w:type="spellStart"/>
      <w:r>
        <w:t>заключен</w:t>
      </w:r>
      <w:proofErr w:type="spellEnd"/>
      <w:r>
        <w:t xml:space="preserve"> в тюрьмы за отказ от военной службы. С другой стороны, Европейское бюро ставило задачей добиться принятия таких международных соглашений, которые бы обязывали государства гарантировать право на отказ от военной службы по убеждениям и всячески продвигать реализацию этого права. С 1998 г Европейское Бюро участвует в работе различных институтов Совета Европы.</w:t>
      </w:r>
      <w:r>
        <w:br/>
      </w:r>
      <w:r>
        <w:rPr>
          <w:b/>
          <w:bCs/>
        </w:rPr>
        <w:t>ИЗ ИСТОРИИ СОЗНАТЕЛЬНОГО ОТКАЗА ОТ ВОЕННОЙ СЛУЖБЫ</w:t>
      </w:r>
    </w:p>
    <w:p w:rsidR="00E4688F" w:rsidRDefault="00E4688F" w:rsidP="00E4688F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АЛЬБЕРТ ЭЙНШТЕЙН (1879-1955)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великий физик занимался активной общественной деятельностью и придерживался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антимлитаристских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взглядов, был противником обязательной военной службы, одним из авторов 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МАНИФЕСТА ПРОТИВ ВОИНСКОЙ </w:t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ПОВИННОСТИ ( 1925 г.):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«Мы считаем, что созданные на основе воинской повинности армии, располагающие массой кадровых офицеров, представляют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серьезную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угрозу миру. Воинская повинность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ведет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деградации человеческой личности, к ликвидации свободы. Жизнь в казармах, военная муштра, слепое подчинение несправедливым и необоснованным приказам, обучение людей убивать себе подобных подрывает уважение к личности, демократии и человеческой жизни. Заставлять людей против воли и их убеждений идти на смерть или убивать других — это унижение человеческого достоинства. Государство, которое считает себя вправе заставлять своих граждан быть военнообязанными, даже в мирное время пренебрегает основными правами человека. Более того, обязательная воинская повинность прививает всей мужской части населения дух агрессивного милитаризма и как раз на том этапе жизни, когда человек более всего подвержен влиянию со стороны. В результате насаждения милитаризма война начинает восприниматься как неизбежное и даже желанное явление».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Под манифестом подписались Анри Барбюс, Махатма Ганди, Бертран Рассел, Рабиндранат Тагор,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Ромен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Роллан, Герберт Уэллс и другие деятелю мировой культуры и науки.</w:t>
      </w:r>
    </w:p>
    <w:p w:rsidR="00E4688F" w:rsidRDefault="00E4688F" w:rsidP="00E4688F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hyperlink r:id="rId4" w:tgtFrame="_blank" w:history="1">
        <w:r>
          <w:rPr>
            <w:rStyle w:val="a3"/>
            <w:b/>
            <w:bCs/>
            <w:sz w:val="27"/>
            <w:szCs w:val="27"/>
            <w:shd w:val="clear" w:color="auto" w:fill="FFFFFF"/>
          </w:rPr>
          <w:t>ЛУИ ЛЕКУАН (1888- 1971</w:t>
        </w:r>
        <w:proofErr w:type="gramStart"/>
        <w:r>
          <w:rPr>
            <w:rStyle w:val="a3"/>
            <w:b/>
            <w:bCs/>
            <w:sz w:val="27"/>
            <w:szCs w:val="27"/>
            <w:shd w:val="clear" w:color="auto" w:fill="FFFFFF"/>
          </w:rPr>
          <w:t>)</w:t>
        </w:r>
        <w:r>
          <w:rPr>
            <w:rStyle w:val="a3"/>
            <w:sz w:val="27"/>
            <w:szCs w:val="27"/>
            <w:shd w:val="clear" w:color="auto" w:fill="FFFFFF"/>
          </w:rPr>
          <w:t> ,</w:t>
        </w:r>
        <w:proofErr w:type="gramEnd"/>
        <w:r>
          <w:rPr>
            <w:rStyle w:val="a3"/>
            <w:sz w:val="27"/>
            <w:szCs w:val="27"/>
            <w:shd w:val="clear" w:color="auto" w:fill="FFFFFF"/>
          </w:rPr>
          <w:t xml:space="preserve"> французский пацифист, анархист, отказчик от военной службы. в 1912 году получает пятилетний срок за пропаганду пацифизма. Это время он охарактеризовал так: «Чтобы развиваться, я читал всё, что попадало в руки, вступал в дискуссии о социальном устройстве общества и анархизме». Выйдя из тюрьмы в 1917, снова в неё возвращается за антивоенные призывы. В 1920 </w:t>
        </w:r>
        <w:proofErr w:type="spellStart"/>
        <w:r>
          <w:rPr>
            <w:rStyle w:val="a3"/>
            <w:sz w:val="27"/>
            <w:szCs w:val="27"/>
            <w:shd w:val="clear" w:color="auto" w:fill="FFFFFF"/>
          </w:rPr>
          <w:t>освобожден</w:t>
        </w:r>
        <w:proofErr w:type="spellEnd"/>
        <w:r>
          <w:rPr>
            <w:rStyle w:val="a3"/>
            <w:sz w:val="27"/>
            <w:szCs w:val="27"/>
            <w:shd w:val="clear" w:color="auto" w:fill="FFFFFF"/>
          </w:rPr>
          <w:t xml:space="preserve"> досрочно. В общей сложности </w:t>
        </w:r>
        <w:proofErr w:type="spellStart"/>
        <w:r>
          <w:rPr>
            <w:rStyle w:val="a3"/>
            <w:sz w:val="27"/>
            <w:szCs w:val="27"/>
            <w:shd w:val="clear" w:color="auto" w:fill="FFFFFF"/>
          </w:rPr>
          <w:t>Лекуан</w:t>
        </w:r>
        <w:proofErr w:type="spellEnd"/>
        <w:r>
          <w:rPr>
            <w:rStyle w:val="a3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a3"/>
            <w:sz w:val="27"/>
            <w:szCs w:val="27"/>
            <w:shd w:val="clear" w:color="auto" w:fill="FFFFFF"/>
          </w:rPr>
          <w:t>провел</w:t>
        </w:r>
        <w:proofErr w:type="spellEnd"/>
        <w:r>
          <w:rPr>
            <w:rStyle w:val="a3"/>
            <w:sz w:val="27"/>
            <w:szCs w:val="27"/>
            <w:shd w:val="clear" w:color="auto" w:fill="FFFFFF"/>
          </w:rPr>
          <w:t xml:space="preserve"> за </w:t>
        </w:r>
        <w:proofErr w:type="spellStart"/>
        <w:r>
          <w:rPr>
            <w:rStyle w:val="a3"/>
            <w:sz w:val="27"/>
            <w:szCs w:val="27"/>
            <w:shd w:val="clear" w:color="auto" w:fill="FFFFFF"/>
          </w:rPr>
          <w:t>решеткой</w:t>
        </w:r>
        <w:proofErr w:type="spellEnd"/>
        <w:r>
          <w:rPr>
            <w:rStyle w:val="a3"/>
            <w:sz w:val="27"/>
            <w:szCs w:val="27"/>
            <w:shd w:val="clear" w:color="auto" w:fill="FFFFFF"/>
          </w:rPr>
          <w:t xml:space="preserve"> около 12 лет жизни.</w:t>
        </w:r>
        <w:r>
          <w:rPr>
            <w:color w:val="0000FF"/>
            <w:sz w:val="27"/>
            <w:szCs w:val="27"/>
            <w:u w:val="single"/>
            <w:shd w:val="clear" w:color="auto" w:fill="FFFFFF"/>
          </w:rPr>
          <w:br/>
        </w:r>
        <w:r>
          <w:rPr>
            <w:rStyle w:val="a3"/>
            <w:sz w:val="27"/>
            <w:szCs w:val="27"/>
            <w:shd w:val="clear" w:color="auto" w:fill="FFFFFF"/>
          </w:rPr>
          <w:t xml:space="preserve">В 1961 г, 74-летний Луи </w:t>
        </w:r>
        <w:proofErr w:type="spellStart"/>
        <w:r>
          <w:rPr>
            <w:rStyle w:val="a3"/>
            <w:sz w:val="27"/>
            <w:szCs w:val="27"/>
            <w:shd w:val="clear" w:color="auto" w:fill="FFFFFF"/>
          </w:rPr>
          <w:t>Лекуан</w:t>
        </w:r>
        <w:proofErr w:type="spellEnd"/>
        <w:r>
          <w:rPr>
            <w:rStyle w:val="a3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a3"/>
            <w:sz w:val="27"/>
            <w:szCs w:val="27"/>
            <w:shd w:val="clear" w:color="auto" w:fill="FFFFFF"/>
          </w:rPr>
          <w:t>провел</w:t>
        </w:r>
        <w:proofErr w:type="spellEnd"/>
        <w:r>
          <w:rPr>
            <w:rStyle w:val="a3"/>
            <w:sz w:val="27"/>
            <w:szCs w:val="27"/>
            <w:shd w:val="clear" w:color="auto" w:fill="FFFFFF"/>
          </w:rPr>
          <w:t xml:space="preserve"> голодовку за введение закона об альтернативной гражданской службе во Франции. 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В 1962 г во Франции было введена альтернативная гражданская служба. Вскоре большая часть французской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молодежи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предпочла гражданскую службу военной. А в 1990-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призыв был отменен.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АЛЬТЕРНАТИВНАЯ ГРАЖДАНСКАЯ СЛУЖБА в Германии.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2011 г в Германии был остановлен призыв в армию, а значит и АГС перестала существовать как обязанность граждан. К этому времени 2/3 немецкой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молодежи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выбирало службу гражданскую.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МОЛОДЕЖНОЕ ДВИЖЕНИЕ 1960-ЫХ</w:t>
      </w:r>
    </w:p>
    <w:p w:rsidR="00E4688F" w:rsidRDefault="00E4688F" w:rsidP="00E4688F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Джерри Рубин </w:t>
      </w:r>
      <w:r>
        <w:rPr>
          <w:color w:val="000000"/>
          <w:sz w:val="27"/>
          <w:szCs w:val="27"/>
          <w:shd w:val="clear" w:color="auto" w:fill="FFFFFF"/>
        </w:rPr>
        <w:t>(1938 -1994) возглавлял первые демонстрации против </w:t>
      </w:r>
      <w:hyperlink r:id="rId5" w:history="1">
        <w:r>
          <w:rPr>
            <w:rStyle w:val="a3"/>
            <w:sz w:val="27"/>
            <w:szCs w:val="27"/>
            <w:shd w:val="clear" w:color="auto" w:fill="FFFFFF"/>
          </w:rPr>
          <w:t>войны во Вьетнаме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, одновременно выступал соучредителем движения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Йиппи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 Эбби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Хофманом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выдвигали свинью на пост президента США. Играл ключевую роль в </w:t>
      </w:r>
      <w:hyperlink r:id="rId6" w:history="1">
        <w:r>
          <w:rPr>
            <w:rStyle w:val="a3"/>
            <w:sz w:val="27"/>
            <w:szCs w:val="27"/>
            <w:shd w:val="clear" w:color="auto" w:fill="FFFFFF"/>
          </w:rPr>
          <w:t>протестах во время съезда Демократической партии США в Чикаго в августе 1968 г.</w:t>
        </w:r>
      </w:hyperlink>
      <w:r>
        <w:rPr>
          <w:color w:val="000000"/>
          <w:sz w:val="27"/>
          <w:szCs w:val="27"/>
          <w:shd w:val="clear" w:color="auto" w:fill="FFFFFF"/>
        </w:rPr>
        <w:t> После этого он, наряду с другими членами так называемой «</w:t>
      </w:r>
      <w:hyperlink r:id="rId7" w:history="1">
        <w:r>
          <w:rPr>
            <w:rStyle w:val="a3"/>
            <w:sz w:val="27"/>
            <w:szCs w:val="27"/>
            <w:shd w:val="clear" w:color="auto" w:fill="FFFFFF"/>
          </w:rPr>
          <w:t xml:space="preserve">Чикагской </w:t>
        </w:r>
        <w:proofErr w:type="spellStart"/>
        <w:r>
          <w:rPr>
            <w:rStyle w:val="a3"/>
            <w:sz w:val="27"/>
            <w:szCs w:val="27"/>
            <w:shd w:val="clear" w:color="auto" w:fill="FFFFFF"/>
          </w:rPr>
          <w:t>семерки</w:t>
        </w:r>
        <w:proofErr w:type="spellEnd"/>
      </w:hyperlink>
      <w:r>
        <w:rPr>
          <w:color w:val="000000"/>
          <w:sz w:val="27"/>
          <w:szCs w:val="27"/>
          <w:shd w:val="clear" w:color="auto" w:fill="FFFFFF"/>
        </w:rPr>
        <w:t xml:space="preserve">» был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обвинен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подстрекательстве к бунту и подвергнут судебному преследованию.</w:t>
      </w:r>
    </w:p>
    <w:p w:rsidR="00E4688F" w:rsidRDefault="00E4688F" w:rsidP="00E4688F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Эбби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Хоффман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 (1936-1989) прославился не только организацией театрализованных протестов-хепенингов, направленных против войны 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Въетнаме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расового неравенства, но стал известен и как автор теоретических работ, написанных в свойственной ему манере озорной провокации. Наиболее значительная из них "Революция ради Ада Революции", "</w:t>
      </w:r>
      <w:proofErr w:type="gramStart"/>
      <w:r>
        <w:rPr>
          <w:color w:val="000000"/>
          <w:sz w:val="27"/>
          <w:szCs w:val="27"/>
          <w:shd w:val="clear" w:color="auto" w:fill="FFFFFF"/>
        </w:rPr>
        <w:t>К черту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Систему!" (оригинальное название "</w:t>
      </w:r>
      <w:proofErr w:type="spellStart"/>
      <w:r>
        <w:rPr>
          <w:color w:val="000000"/>
          <w:sz w:val="27"/>
          <w:szCs w:val="27"/>
          <w:shd w:val="clear" w:color="auto" w:fill="FFFFFF"/>
        </w:rPr>
        <w:t>Fuck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System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"), "Нация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Вудстока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". В активе Эбби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Хоффмана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немало акций, как он выражался, "театральной герильи", вроде разброса корзины однодолларовых бумажек в помещении нью-йоркской биржи, когда брокеры, зарабатывающие по тысяче в минуту, гонялись за ними, как жалкие нищие. Или торжественной попытки поднять здание Пентагона в воздух, поливая его средством от импотенции. Штурм Диснейленда, с последующим водружением над этой цитаделью буржуазной пошлости флага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Вьетконга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Или выдвижение кандидатом в президенты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поросенка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Пигасуса.Протестные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провокации зачастую заканчивались арестами участников. Карнавальным технологиям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Хоффмана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потом подражали многие. Известна его книга под названием «Сопри эту книгу».</w:t>
      </w:r>
    </w:p>
    <w:p w:rsidR="00E4688F" w:rsidRPr="00E4688F" w:rsidRDefault="00E4688F" w:rsidP="00E4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8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Манифест сознательных отказчиков от военной службы. Россия. 2012.</w:t>
      </w:r>
      <w:r w:rsidRPr="00E468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68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Опубликовано в информационной системе «Демократор.ru». Вы тоже можете подписать Манифест:</w:t>
      </w:r>
      <w:r w:rsidRPr="00E468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468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" w:history="1">
        <w:r w:rsidRPr="00E4688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http://democrator.ru/problem/6475</w:t>
        </w:r>
      </w:hyperlink>
    </w:p>
    <w:p w:rsidR="00E4688F" w:rsidRDefault="00E4688F" w:rsidP="00E4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сознательные отказчики от военной службы и им сочувствующие, подписали этот Манифест. 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убеждены, что принудительный призыв в </w:t>
      </w:r>
      <w:proofErr w:type="spellStart"/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</w:t>
      </w:r>
      <w:proofErr w:type="spellEnd"/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в нашей стране есть крайне вредное явление, которое мешает свободному и гармоничному развитию молодых людей и общества в целом, способствует сохранению позорной для любого развитого общества коррупции и неуважения к правам личности.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Призыв в армию означает: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Бессмысленную трату времени и способностей молодых людей на никчёмное, с нашей точки зрения, занятие.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Навязывание образа жизни, стиля общения и отношений, которые глубоко противны 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хорошо развитому интеллектуально и </w:t>
      </w:r>
      <w:proofErr w:type="spellStart"/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молодому человеку.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Ненужный опыт подчинения приказам и жизни в несвободе.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Отрыв молодых людей от учёбы, от воспитания детей, от помощи своим родителям.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Препятствие профессиональному, интеллектуальному и личностному росту.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Подавление инициативности, демократической гражданственности и творческого начала в молодых людях.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Вред моральному и физическому здоровью.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Соучастие в казарменных преступлениях.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Унижение человеческого достоинства.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Сохранение в общественном сознании отживших своё архаичных гендерных стереотипов.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Укоренение </w:t>
      </w:r>
      <w:proofErr w:type="spellStart"/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псевдопатриотизма</w:t>
      </w:r>
      <w:proofErr w:type="spellEnd"/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всякого рода нетерпимости, в том числе к инакомыслию.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противоправных и несправедливых методов как привычного инструмента осуществления любой деятельности.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Нездоровый психологический климат, травмирующий психику человека.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Ущерб обороноспособности и экономике РФ.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Существование призывной системы в России является пережитком тоталитарного прошлого и требует немедленной отмены.</w:t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6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обращаемся к гражданам, подлежащих призыву на военную службу: отказывайтесь от военной службы, используя только законные методы и правовые возможности сопротивления насильственному призыву, замены военной службы альтернативной гражданской, определения объективной категории годности, что исключает плату взяток сотрудникам "военкоматов" через адвокатские конторы!</w:t>
      </w:r>
    </w:p>
    <w:p w:rsidR="008577F2" w:rsidRDefault="008577F2" w:rsidP="00E4688F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Публикуем фрагмент из книги Л. Левинсона. «Альтернатива призыву» Эта книга долгие годы служила пособием для молодых людей, решивших отказаться от военной службы. Рекомендуем найти полный текст в интернете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)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1" w:name="ss1"/>
      <w:bookmarkEnd w:id="1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 Ни в Конституции, ни в законе об АГС ничего не сказано о том, какие именно убеждения признаются противоречащими несению военной службы и что вообще следует понимать под словом «убеждения». Из этого следует единственный вывод: в России основанием для предоставления права на АГС могут служить любые убеждения. При единственном условии: это должны быть не какие-то абстрактные убеждения «ни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 чем</w:t>
      </w:r>
      <w:proofErr w:type="gramEnd"/>
      <w:r>
        <w:rPr>
          <w:color w:val="000000"/>
          <w:sz w:val="27"/>
          <w:szCs w:val="27"/>
          <w:shd w:val="clear" w:color="auto" w:fill="FFFFFF"/>
        </w:rPr>
        <w:t>», а убеждения, препятствующие конкретному гражданину идти на военную службу.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2" w:name="ss2-2"/>
      <w:bookmarkStart w:id="3" w:name="ss3-3"/>
      <w:bookmarkEnd w:id="2"/>
      <w:bookmarkEnd w:id="3"/>
      <w:r>
        <w:rPr>
          <w:color w:val="000000"/>
          <w:sz w:val="27"/>
          <w:szCs w:val="27"/>
          <w:shd w:val="clear" w:color="auto" w:fill="FFFFFF"/>
        </w:rPr>
        <w:t>    Основанием возникновения права на отказ от военной службы в международных документах принято считать </w:t>
      </w:r>
      <w:r>
        <w:rPr>
          <w:i/>
          <w:iCs/>
          <w:color w:val="000000"/>
          <w:sz w:val="27"/>
          <w:szCs w:val="27"/>
          <w:shd w:val="clear" w:color="auto" w:fill="FFFFFF"/>
        </w:rPr>
        <w:t>«убеждения совести»</w:t>
      </w:r>
      <w:r>
        <w:rPr>
          <w:i/>
          <w:iCs/>
          <w:color w:val="000000"/>
          <w:shd w:val="clear" w:color="auto" w:fill="FFFFFF"/>
          <w:vertAlign w:val="superscript"/>
        </w:rPr>
        <w:t>1</w:t>
      </w:r>
      <w:r>
        <w:rPr>
          <w:i/>
          <w:iCs/>
          <w:color w:val="000000"/>
          <w:sz w:val="27"/>
          <w:szCs w:val="27"/>
          <w:shd w:val="clear" w:color="auto" w:fill="FFFFFF"/>
        </w:rPr>
        <w:t>(«искренние глубокие убеждения совести» </w:t>
      </w:r>
      <w:r>
        <w:rPr>
          <w:i/>
          <w:iCs/>
          <w:color w:val="000000"/>
          <w:shd w:val="clear" w:color="auto" w:fill="FFFFFF"/>
          <w:vertAlign w:val="superscript"/>
        </w:rPr>
        <w:t>2</w:t>
      </w:r>
      <w:r>
        <w:rPr>
          <w:i/>
          <w:iCs/>
          <w:color w:val="000000"/>
          <w:sz w:val="27"/>
          <w:szCs w:val="27"/>
          <w:shd w:val="clear" w:color="auto" w:fill="FFFFFF"/>
        </w:rPr>
        <w:t>).</w:t>
      </w:r>
      <w:r>
        <w:rPr>
          <w:color w:val="000000"/>
          <w:sz w:val="27"/>
          <w:szCs w:val="27"/>
          <w:shd w:val="clear" w:color="auto" w:fill="FFFFFF"/>
        </w:rPr>
        <w:t xml:space="preserve"> Убеждения совести – </w:t>
      </w:r>
      <w:r>
        <w:rPr>
          <w:color w:val="000000"/>
          <w:sz w:val="27"/>
          <w:szCs w:val="27"/>
          <w:shd w:val="clear" w:color="auto" w:fill="FFFFFF"/>
        </w:rPr>
        <w:lastRenderedPageBreak/>
        <w:t>производное свободы совести. Свобода совести в качестве правовой категории традиционно понимается как религиозная и мировоззренческая свобода. Таким образом, на уровне ООН, Совета Европы рекомендованы минимально необходимые основания легального отказа, которые государства-участники этих международных организаций должны принять, – религиозные и иные мировоззренческие установки личности («убеждения совести»). Российский же подход шире: невозможность прохождения военной службы может быть мотивирована призывником не только убеждениями совести, но и убеждениями в широком смысле, убеждениями как таковыми.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 По Толковому словарю русского языка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С.И.Ожегова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Н.Ю.Шведовой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«убеждение – прочно сложившееся мнение, уверенный взгляд на что-нибудь, точка зрения»</w:t>
      </w:r>
      <w:proofErr w:type="gramStart"/>
      <w:r>
        <w:rPr>
          <w:i/>
          <w:iCs/>
          <w:color w:val="000000"/>
          <w:shd w:val="clear" w:color="auto" w:fill="FFFFFF"/>
          <w:vertAlign w:val="superscript"/>
        </w:rPr>
        <w:t>3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Толковый словарь живого великорусского языка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В.И.Даля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раскрывает «убежденье» как 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«то,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в чем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кто-либо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убежден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уверен, чему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твердо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и рассудительно верит».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 Толковые словари традиционно используются при разрешении правовых вопросов, если отсутствует специальная юридическая дефиниция, выделяющая смысл термина. Как видно из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приведенных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словарных толкований, убеждение – не синоним мировоззрения. Мировоззрение, по словарю Ожегова, это </w:t>
      </w:r>
      <w:r>
        <w:rPr>
          <w:i/>
          <w:iCs/>
          <w:color w:val="000000"/>
          <w:sz w:val="27"/>
          <w:szCs w:val="27"/>
          <w:shd w:val="clear" w:color="auto" w:fill="FFFFFF"/>
        </w:rPr>
        <w:t>«система взглядов, воззрений на природу и общество»</w:t>
      </w:r>
      <w:r>
        <w:rPr>
          <w:color w:val="000000"/>
          <w:sz w:val="27"/>
          <w:szCs w:val="27"/>
          <w:shd w:val="clear" w:color="auto" w:fill="FFFFFF"/>
        </w:rPr>
        <w:t xml:space="preserve">. Наличие убеждения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 чем-либо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 означает, что у имеющего его человека обязательно должно быть сформировавшееся стройное мировоззрение, включающее в себя это убеждение. Убеждение, не принимающее военную службу (не важно – военную службу вообще, военную службу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определенной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ситуации или военную службу для себя), есть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твердый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определенный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взгляд именно на военную службу. И этого достаточно для того, чтобы воспользоваться правом не идти в армию.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 Убеждения могут быть миротворческие, философские, морально-этические, политические, правовые либо иметь взаимодополняющее, комплексное содержание. Естественно, что, ссылаясь на убеждения, человек может быть вовсе неверующим, даже воинствующим атеистом. Вопрос о религии 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убежденного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противника военной службы вообще может не стоять.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 Убеждения – дело индивидуальное. Но если попробовать как-то систематизировать убеждения, не совместимые с военной службой, получается примерно следующее.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 Прежде всего, это, конечно, пацифистские убеждения – философия миротворчества. В таком случае, обосновывая отказ от военной службы, </w:t>
      </w:r>
      <w:r>
        <w:rPr>
          <w:color w:val="000000"/>
          <w:sz w:val="27"/>
          <w:szCs w:val="27"/>
          <w:shd w:val="clear" w:color="auto" w:fill="FFFFFF"/>
        </w:rPr>
        <w:lastRenderedPageBreak/>
        <w:t>человек прямо или опосредованно последует учению о ненасилии Льва Николаевича Толстого и Махатмы Ганди, – великих мыслителей и учителей пацифизма.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   Проповедуя ненасилие, Ганди не только не выступал апологетом какой-либо религиозной системы, но отстаивал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надрелигиозные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(хотя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укорененные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индуистской традиции) принципы жизни – как индивидуальной, так и социально-политической. С насилием нельзя бороться насилием, – утверждал он, – оно порождает лишь новые кровавые конфликты.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   Учение Ганди о сатьяграхе как о ненасильственной борьбе против несправедливости основывалось, в частности, на идеях Толстого. </w:t>
      </w:r>
    </w:p>
    <w:p w:rsidR="008577F2" w:rsidRPr="008577F2" w:rsidRDefault="008577F2" w:rsidP="0085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российские милитаристы, в которых никогда не было недостатка, поднимают, как знамя, имена военачальников Ушакова и Суворова (славного, кстати, не только под Очаковом и Измаилом, но и «антитеррористической операцией» против Емельяна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Пугачева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миротворцам есть, что ответить поклонникам искусства воевать, – есть, кого противопоставить. Вряд ли кто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рискнет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Толстого «врагом России» или «западным наймитом», как привыкли клеймить так называемые патриоты современных российских антимилитаристов. Толстой – слава России. А между тем никто горячее его не разоблачал военный патриотизм. Яснополянский старец, которого читали и к которому прислушивались всей Россией и всем миром,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протяжении десятилетий, защищал право на отказ от военной службы. </w:t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 1908 году в работе «Закон насилия и закон любви» Толстой писал: «Число людей, признающих несовместимость христианства с покорностью государству, постоянно увеличивалось; в наше же время, в особенности с тех пор, как правительством было введено самое очевидно противоположное христианскому учению требование общей воинской повинности, несогласие людей христианского понимания с государственным устройством стало все чаще и чаще проявляться. ..»</w:t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ss4-4"/>
      <w:bookmarkEnd w:id="4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Но чтобы претендовать на АГС, вовсе не обязательно быть толстовцем. Отвергая военную службу, человек может основываться не только на философско-этическом учении о </w:t>
      </w:r>
      <w:proofErr w:type="gram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ненасилии. ..</w:t>
      </w:r>
      <w:proofErr w:type="gram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в армии может противоречить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неразрешимости современных конфликтов силовым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возможности и необходимости политических методов урегулирования, в исчерпанности и несовременности языка войны.</w:t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Политическим будет отказ от военной службы по глубокому убеждению в необходимости полной отмены призыва и создания профессиональной армии. Если гражданин считает призывную армию не отвечающей интересам обороноспособности, он вправе, руководствуясь этим своим убеждением, предпочесть АГС. </w:t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proofErr w:type="gram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«Призыв – пережиток</w:t>
      </w:r>
      <w:proofErr w:type="gram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говорит он. – Я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и разумности, экономической целесообразности исключительно контрактной армии. Служить по призыву было бы вопреки моим убеждениям. Однако против гражданской службы я не возражаю, так как понимаю, в каком сложном положении находится социальная сфера, другие важные хозяйственные отрасли, и готов работать для общего блага». </w:t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Убеждения могут быть и иного рода. Если государство не гарантирует своим гражданам, призываемым на военную службу, безопасности, если в воинских частях процветают избиения, пытки, изнасилования, вымогательства, произвол старослужащих и офицеров, рабский труд «лишних» солдат, вынужденная солдатская проституция, обычным делом стали убийства и доведения до самоубийства, – служба в такой армии будет, чем дальше, тем больше противоречить убеждениям многих подлежащих призыву людей. Такие убеждения правильнее считать правовыми. Человек, его права и свободы, его достоинство и личная неприкосновенность признаются, по российской Конституции, высшей ценностью. Соблюдение и защита прав личности – первейшая обязанность государства, предписанная ему в первых строках Конституции. При этом в статье 45 Конституция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неотъемлемое право защищать свои права и свободы всеми способами, не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запрещенными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 Выбор в пользу АГС может быть самозащитой права на жизнь, безопасность, человеческое достоинство.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Твердая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уверенность в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человеческой личности, в невозможности исполнять обязанности перед государственной военной организацией, если нет никаких гарантий, что государство будет выполнять свои обязанности перед военнослужащим (напротив, практика свидетельствует об обратном), </w:t>
      </w:r>
      <w:proofErr w:type="spellStart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достаточные аргументы для сознательного отказа от военной службы. </w:t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Наконец, вполне естественно убеждение, основанное на самоанализе, на представлении человека о самом себе. Он может ощущать, что сформировался как личность, дорожить чертами своей личности, понимая, что армия может его «испортить», ожесточить, сломать или изменить в нем то, что он, глядя на себя как бы извне, считает ценным. Из вышесказанного не следует, что гражданину, прежде чем нести в военкомат заявление, необходимо выбрать, как на базаре, подходящие убеждения и не смешивать их с другими. Убеждения гражданина, предпочитающего альтернативную службу, вовсе не обязательно должны быть строго философскими, или строго этическими, или строго политическими. Убеждения могут быть синкретическими, т.е. сочетать в себе различную мотивацию. </w:t>
      </w:r>
      <w:r w:rsidRPr="00857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77F2" w:rsidRDefault="008577F2" w:rsidP="00E4688F"/>
    <w:sectPr w:rsidR="0085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F"/>
    <w:rsid w:val="00024172"/>
    <w:rsid w:val="000F0748"/>
    <w:rsid w:val="00143B7E"/>
    <w:rsid w:val="001527EE"/>
    <w:rsid w:val="001649EB"/>
    <w:rsid w:val="003164A3"/>
    <w:rsid w:val="00364246"/>
    <w:rsid w:val="004F6A57"/>
    <w:rsid w:val="00551424"/>
    <w:rsid w:val="006A7411"/>
    <w:rsid w:val="006D5042"/>
    <w:rsid w:val="00785A81"/>
    <w:rsid w:val="00790249"/>
    <w:rsid w:val="008577F2"/>
    <w:rsid w:val="008A1F4E"/>
    <w:rsid w:val="008F3BC8"/>
    <w:rsid w:val="00B22D8D"/>
    <w:rsid w:val="00BA43D8"/>
    <w:rsid w:val="00D4226A"/>
    <w:rsid w:val="00E4688F"/>
    <w:rsid w:val="00E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B06B"/>
  <w15:chartTrackingRefBased/>
  <w15:docId w15:val="{03645D2F-9956-476E-BFC4-39082C33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tor.ru/problem/64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1%87%D0%B8%D0%BA%D0%B0%D0%B3%D1%81%D0%BA%D0%B0%D1%8F_%D1%81%D0%B5%D0%BC%D1%91%D1%80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BF%D1%80%D0%BE%D1%82%D0%B5%D1%81%D1%82%D1%8B_%D0%B2%D0%BE_%D0%B2%D1%80%D0%B5%D0%BC%D1%8F_%D1%81%D1%8A%D0%B5%D0%B7%D0%B4%D0%B0_%D0%B4%D0%B5%D0%BC%D0%BE%D0%BA%D1%80%D0%B0%D1%82%D0%B8%D1%87%D0%B5%D1%81%D0%BA%D0%BE%D0%B9_%D0%BF%D0%B0%D1%80%D1%82%D0%B8%D0%B8_%D1%81%D1%88%D0%B0_%D0%B2_%D1%87%D0%B8%D0%BA%D0%B0%D0%B3%D0%BE_%D0%B2_%D0%B0%D0%B2%D0%B3%D1%83%D1%81%D1%82%D0%B5_1968_%D0%B3." TargetMode="External"/><Relationship Id="rId5" Type="http://schemas.openxmlformats.org/officeDocument/2006/relationships/hyperlink" Target="http://ru.wikipedia.org/wiki/%D0%B2%D0%BE%D0%B9%D0%BD%D0%B0_%D0%B2%D0%BE_%D0%B2%D1%8C%D0%B5%D1%82%D0%BD%D0%B0%D0%BC%D0%B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na-smspb.livejournal.com/1040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2018-05-14T06:10:00Z</dcterms:created>
  <dcterms:modified xsi:type="dcterms:W3CDTF">2018-05-14T06:57:00Z</dcterms:modified>
</cp:coreProperties>
</file>