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E1" w:rsidRPr="003E1445" w:rsidRDefault="00FB0737" w:rsidP="007F2BD4">
      <w:pPr>
        <w:pStyle w:val="Heading1"/>
        <w:spacing w:before="0" w:after="120"/>
        <w:jc w:val="center"/>
        <w:rPr>
          <w:rFonts w:asciiTheme="minorHAnsi" w:hAnsiTheme="minorHAnsi"/>
          <w:color w:val="auto"/>
          <w:sz w:val="24"/>
          <w:szCs w:val="24"/>
        </w:rPr>
      </w:pPr>
      <w:bookmarkStart w:id="0" w:name="_GoBack"/>
      <w:bookmarkEnd w:id="0"/>
      <w:r w:rsidRPr="00464268">
        <w:rPr>
          <w:rFonts w:asciiTheme="minorHAnsi" w:hAnsiTheme="minorHAnsi"/>
          <w:color w:val="auto"/>
          <w:sz w:val="24"/>
          <w:szCs w:val="24"/>
        </w:rPr>
        <w:t xml:space="preserve">Leaving no-one Behind – </w:t>
      </w:r>
      <w:r w:rsidR="004E1B4F" w:rsidRPr="00464268">
        <w:rPr>
          <w:rFonts w:asciiTheme="minorHAnsi" w:hAnsiTheme="minorHAnsi"/>
          <w:color w:val="auto"/>
          <w:sz w:val="24"/>
          <w:szCs w:val="24"/>
        </w:rPr>
        <w:t xml:space="preserve">The Sustainable Development </w:t>
      </w:r>
      <w:r w:rsidR="008C2C2F">
        <w:rPr>
          <w:rFonts w:asciiTheme="minorHAnsi" w:hAnsiTheme="minorHAnsi"/>
          <w:color w:val="auto"/>
          <w:sz w:val="24"/>
          <w:szCs w:val="24"/>
        </w:rPr>
        <w:t>Goal</w:t>
      </w:r>
      <w:r w:rsidR="004E1B4F" w:rsidRPr="00464268">
        <w:rPr>
          <w:rFonts w:asciiTheme="minorHAnsi" w:hAnsiTheme="minorHAnsi"/>
          <w:color w:val="auto"/>
          <w:sz w:val="24"/>
          <w:szCs w:val="24"/>
        </w:rPr>
        <w:t>s and Global Ageing</w:t>
      </w:r>
    </w:p>
    <w:p w:rsidR="00464268" w:rsidRPr="00464268" w:rsidRDefault="003408BE" w:rsidP="007F2BD4">
      <w:pPr>
        <w:spacing w:after="120"/>
        <w:jc w:val="center"/>
        <w:rPr>
          <w:b/>
        </w:rPr>
      </w:pPr>
      <w:r w:rsidRPr="00464268">
        <w:rPr>
          <w:b/>
        </w:rPr>
        <w:t xml:space="preserve">A </w:t>
      </w:r>
      <w:r w:rsidR="00CC7049">
        <w:rPr>
          <w:b/>
        </w:rPr>
        <w:t>discussion</w:t>
      </w:r>
      <w:r w:rsidR="00BA2B71">
        <w:rPr>
          <w:b/>
        </w:rPr>
        <w:t xml:space="preserve"> </w:t>
      </w:r>
      <w:r w:rsidRPr="00464268">
        <w:rPr>
          <w:b/>
        </w:rPr>
        <w:t>paper for HelpAge International</w:t>
      </w:r>
    </w:p>
    <w:p w:rsidR="00723129" w:rsidRPr="00B360E1" w:rsidRDefault="00723129" w:rsidP="0054171A">
      <w:pPr>
        <w:pStyle w:val="Heading2"/>
        <w:spacing w:before="0" w:after="120"/>
        <w:ind w:left="0"/>
        <w:rPr>
          <w:rFonts w:asciiTheme="minorHAnsi" w:hAnsiTheme="minorHAnsi"/>
          <w:color w:val="auto"/>
          <w:sz w:val="24"/>
          <w:szCs w:val="24"/>
        </w:rPr>
      </w:pPr>
      <w:r w:rsidRPr="00B360E1">
        <w:rPr>
          <w:rFonts w:asciiTheme="minorHAnsi" w:hAnsiTheme="minorHAnsi"/>
          <w:color w:val="auto"/>
          <w:sz w:val="24"/>
          <w:szCs w:val="24"/>
        </w:rPr>
        <w:t>Introduction</w:t>
      </w:r>
    </w:p>
    <w:p w:rsidR="002C3B63" w:rsidRDefault="003C2B4B" w:rsidP="0054171A">
      <w:pPr>
        <w:spacing w:after="120"/>
        <w:ind w:left="0"/>
      </w:pPr>
      <w:r w:rsidRPr="003C2B4B">
        <w:t xml:space="preserve">At the United Nations Sustainable Development Summit </w:t>
      </w:r>
      <w:r>
        <w:t>in</w:t>
      </w:r>
      <w:r w:rsidRPr="003C2B4B">
        <w:t xml:space="preserve"> September 2015, world leaders adopted the 2030 Agenda for Sustainable Development, </w:t>
      </w:r>
      <w:r>
        <w:t>including</w:t>
      </w:r>
      <w:r w:rsidRPr="003C2B4B">
        <w:t xml:space="preserve"> a set of 17 Sustainable Development Goals (SDGs) to end poverty, fight inequality and injustice, and tackle climate change by 2030.</w:t>
      </w:r>
      <w:r w:rsidR="008F5B34">
        <w:rPr>
          <w:rStyle w:val="FootnoteReference"/>
        </w:rPr>
        <w:footnoteReference w:id="1"/>
      </w:r>
      <w:r w:rsidR="00D574DB">
        <w:t xml:space="preserve"> </w:t>
      </w:r>
      <w:r w:rsidR="00F232A1">
        <w:t xml:space="preserve">The </w:t>
      </w:r>
      <w:r w:rsidR="00274D29">
        <w:t>SDGs</w:t>
      </w:r>
      <w:r w:rsidR="00F232A1">
        <w:t xml:space="preserve"> foresee a world that by 2030</w:t>
      </w:r>
      <w:r w:rsidR="0096214A">
        <w:t xml:space="preserve"> has achieved zero poverty, where all people can </w:t>
      </w:r>
      <w:r w:rsidR="0096214A" w:rsidRPr="0096214A">
        <w:t xml:space="preserve">live </w:t>
      </w:r>
      <w:r w:rsidR="00F00A47">
        <w:t xml:space="preserve">in dignity throughout their </w:t>
      </w:r>
      <w:r w:rsidR="0096214A">
        <w:t>lives</w:t>
      </w:r>
      <w:r w:rsidR="0096214A" w:rsidRPr="0096214A">
        <w:t>, free from poverty, exclusion, violence and discrimination.</w:t>
      </w:r>
    </w:p>
    <w:p w:rsidR="00FA7ADE" w:rsidRPr="00B360E1" w:rsidRDefault="00F00A47" w:rsidP="0054171A">
      <w:pPr>
        <w:spacing w:after="120"/>
        <w:ind w:left="0"/>
      </w:pPr>
      <w:r>
        <w:t xml:space="preserve">These ideals </w:t>
      </w:r>
      <w:r w:rsidR="000D38DF">
        <w:t>connect</w:t>
      </w:r>
      <w:r w:rsidR="00723129" w:rsidRPr="00B360E1">
        <w:t xml:space="preserve"> directly </w:t>
      </w:r>
      <w:r w:rsidR="00A6068D">
        <w:t>to</w:t>
      </w:r>
      <w:r w:rsidR="00BA2B71">
        <w:t xml:space="preserve"> </w:t>
      </w:r>
      <w:proofErr w:type="spellStart"/>
      <w:r w:rsidR="00723129" w:rsidRPr="00B360E1">
        <w:t>HelpAge’s</w:t>
      </w:r>
      <w:proofErr w:type="spellEnd"/>
      <w:r w:rsidR="00723129" w:rsidRPr="00B360E1">
        <w:t xml:space="preserve"> 2020 Strategy, with its </w:t>
      </w:r>
      <w:r w:rsidR="00A6068D">
        <w:t xml:space="preserve">own </w:t>
      </w:r>
      <w:r w:rsidR="00723129" w:rsidRPr="00B360E1">
        <w:t>vision of a world in which all older people can lead dignified, healthy and secure lives</w:t>
      </w:r>
      <w:r w:rsidR="00890545" w:rsidRPr="00B360E1">
        <w:t xml:space="preserve">. </w:t>
      </w:r>
      <w:r w:rsidR="00723129" w:rsidRPr="00B360E1">
        <w:t xml:space="preserve">This paper aims to </w:t>
      </w:r>
      <w:r w:rsidR="00D8119C" w:rsidRPr="00B360E1">
        <w:t>show</w:t>
      </w:r>
      <w:r w:rsidR="001030D8" w:rsidRPr="00B360E1">
        <w:t xml:space="preserve"> how </w:t>
      </w:r>
      <w:r w:rsidR="00061DE6">
        <w:t xml:space="preserve">far </w:t>
      </w:r>
      <w:r w:rsidR="001030D8" w:rsidRPr="00B360E1">
        <w:t>the</w:t>
      </w:r>
      <w:r w:rsidR="00BA2B71">
        <w:t xml:space="preserve"> </w:t>
      </w:r>
      <w:r w:rsidR="00E627D8" w:rsidRPr="00B360E1">
        <w:t>SDGs</w:t>
      </w:r>
      <w:r w:rsidR="001030D8" w:rsidRPr="00B360E1">
        <w:t xml:space="preserve">, with </w:t>
      </w:r>
      <w:r w:rsidR="00E627D8" w:rsidRPr="00B360E1">
        <w:t>their</w:t>
      </w:r>
      <w:r w:rsidR="001030D8" w:rsidRPr="00B360E1">
        <w:t xml:space="preserve"> central concept of ‘leaving no-one </w:t>
      </w:r>
      <w:r w:rsidR="001030D8" w:rsidRPr="00667867">
        <w:t xml:space="preserve">behind’, </w:t>
      </w:r>
      <w:r w:rsidR="00061DE6" w:rsidRPr="00667867">
        <w:t>are</w:t>
      </w:r>
      <w:r w:rsidR="00723129" w:rsidRPr="00667867">
        <w:t xml:space="preserve"> reflected in </w:t>
      </w:r>
      <w:r w:rsidR="00416B5D" w:rsidRPr="00667867">
        <w:t>the</w:t>
      </w:r>
      <w:r w:rsidR="00723129" w:rsidRPr="00667867">
        <w:t xml:space="preserve"> </w:t>
      </w:r>
      <w:proofErr w:type="gramStart"/>
      <w:r w:rsidR="00723129" w:rsidRPr="00667867">
        <w:t>key</w:t>
      </w:r>
      <w:proofErr w:type="gramEnd"/>
      <w:r w:rsidR="00723129" w:rsidRPr="00667867">
        <w:t xml:space="preserve"> </w:t>
      </w:r>
      <w:r w:rsidR="00416B5D" w:rsidRPr="00667867">
        <w:t>objectives of the HelpAge network</w:t>
      </w:r>
      <w:r w:rsidR="003B593F">
        <w:t xml:space="preserve">; </w:t>
      </w:r>
      <w:proofErr w:type="spellStart"/>
      <w:r w:rsidR="003B593F">
        <w:t>it</w:t>
      </w:r>
      <w:r w:rsidR="002C27BC">
        <w:t>i</w:t>
      </w:r>
      <w:r w:rsidR="00667867" w:rsidRPr="00667867">
        <w:t>s</w:t>
      </w:r>
      <w:proofErr w:type="spellEnd"/>
      <w:r w:rsidR="00667867" w:rsidRPr="00667867">
        <w:t xml:space="preserve"> </w:t>
      </w:r>
      <w:r w:rsidR="002C27BC">
        <w:t xml:space="preserve">intended </w:t>
      </w:r>
      <w:r w:rsidR="003B593F">
        <w:t>to be</w:t>
      </w:r>
      <w:r w:rsidR="00BA2B71">
        <w:t xml:space="preserve"> </w:t>
      </w:r>
      <w:r w:rsidR="00667867" w:rsidRPr="00667867">
        <w:t>a resource for members &amp; partners in developing their advocacy</w:t>
      </w:r>
      <w:r w:rsidR="002C27BC">
        <w:t xml:space="preserve"> and</w:t>
      </w:r>
      <w:r w:rsidR="00667867" w:rsidRPr="00667867">
        <w:t xml:space="preserve"> influencing </w:t>
      </w:r>
      <w:r w:rsidR="002C27BC">
        <w:t>relating to the SDGs.</w:t>
      </w:r>
    </w:p>
    <w:p w:rsidR="00FA05F7" w:rsidRDefault="008B6989" w:rsidP="0054171A">
      <w:pPr>
        <w:spacing w:after="120"/>
        <w:ind w:left="0"/>
      </w:pPr>
      <w:r>
        <w:t xml:space="preserve">The SDGs will have a major impact on development thinking and practice in the </w:t>
      </w:r>
      <w:r w:rsidR="00EF2D19">
        <w:t>years t</w:t>
      </w:r>
      <w:r>
        <w:t xml:space="preserve">o 2030, so it’s important to know how </w:t>
      </w:r>
      <w:r w:rsidR="00EF2D19">
        <w:t xml:space="preserve">well they have addressed issues important for ageing and older people. </w:t>
      </w:r>
      <w:r w:rsidR="002C3B63" w:rsidRPr="002C3B63">
        <w:t xml:space="preserve">To make sure that older people are not left behind, data will have to be better collected and analysed, their voices will need to be heard in policy making and implementation, and discriminatory practices which exclude them from earning a living, getting entitlements (such as pensions and health care) and ignore elder abuse will have to be challenged and changed. </w:t>
      </w:r>
      <w:r w:rsidR="00787545">
        <w:t xml:space="preserve">How far do the SDGs meet these </w:t>
      </w:r>
      <w:r w:rsidR="007E2C68">
        <w:t>requirements?</w:t>
      </w:r>
    </w:p>
    <w:p w:rsidR="00442EED" w:rsidRDefault="004E3B64" w:rsidP="0054171A">
      <w:pPr>
        <w:spacing w:after="120"/>
        <w:ind w:left="0"/>
      </w:pPr>
      <w:r w:rsidRPr="00B360E1">
        <w:t xml:space="preserve">In the preparatory process for the SDG summit, </w:t>
      </w:r>
      <w:r w:rsidR="007324F1" w:rsidRPr="00B360E1">
        <w:t>a</w:t>
      </w:r>
      <w:r w:rsidR="00D5116E" w:rsidRPr="00B360E1">
        <w:t>geing was mentioned as a global trend and challenge to which the post-2015 agenda should respond</w:t>
      </w:r>
      <w:r w:rsidR="003236E2" w:rsidRPr="00B360E1">
        <w:t xml:space="preserve">. </w:t>
      </w:r>
      <w:r w:rsidR="00B07867">
        <w:t xml:space="preserve">This has been only partially reflected in the final </w:t>
      </w:r>
      <w:r w:rsidR="003D3331">
        <w:t>2030 Agenda document, and we should understand that, w</w:t>
      </w:r>
      <w:r w:rsidR="00CB2A5B" w:rsidRPr="00B360E1">
        <w:t xml:space="preserve">hile </w:t>
      </w:r>
      <w:r w:rsidR="006D7AAE">
        <w:t xml:space="preserve">we can see </w:t>
      </w:r>
      <w:r w:rsidR="00967737">
        <w:t>the</w:t>
      </w:r>
      <w:r w:rsidR="00BA2B71">
        <w:t xml:space="preserve"> </w:t>
      </w:r>
      <w:r w:rsidR="00FE0507">
        <w:t>impacts</w:t>
      </w:r>
      <w:r w:rsidR="006D7AAE">
        <w:t xml:space="preserve"> for older people throughout the </w:t>
      </w:r>
      <w:r w:rsidR="004E131E" w:rsidRPr="00B360E1">
        <w:t xml:space="preserve">Sustainable Development </w:t>
      </w:r>
      <w:r w:rsidR="008C2C2F">
        <w:t>Goal</w:t>
      </w:r>
      <w:r w:rsidR="00CB2A5B" w:rsidRPr="00B360E1">
        <w:t xml:space="preserve">s, </w:t>
      </w:r>
      <w:r w:rsidR="00DC16F2" w:rsidRPr="00DC16F2">
        <w:t>the</w:t>
      </w:r>
      <w:r w:rsidR="003D3331">
        <w:t>se</w:t>
      </w:r>
      <w:r w:rsidR="00BA2B71">
        <w:t xml:space="preserve"> </w:t>
      </w:r>
      <w:r w:rsidR="003D3331">
        <w:t>may</w:t>
      </w:r>
      <w:r w:rsidR="00DC16F2" w:rsidRPr="00DC16F2">
        <w:t xml:space="preserve"> not </w:t>
      </w:r>
      <w:r w:rsidR="00F122A4">
        <w:t>necessarily be</w:t>
      </w:r>
      <w:r w:rsidR="005010D7">
        <w:t xml:space="preserve"> recognise</w:t>
      </w:r>
      <w:r w:rsidR="00F122A4">
        <w:t>d</w:t>
      </w:r>
      <w:r w:rsidR="003D3331">
        <w:t xml:space="preserve"> by the wider development community</w:t>
      </w:r>
      <w:r w:rsidR="005010D7">
        <w:t xml:space="preserve">. </w:t>
      </w:r>
    </w:p>
    <w:p w:rsidR="0025512A" w:rsidRPr="0025512A" w:rsidRDefault="00D574DB" w:rsidP="00D574DB">
      <w:pPr>
        <w:spacing w:after="120"/>
        <w:ind w:left="0"/>
        <w:rPr>
          <w:b/>
        </w:rPr>
      </w:pPr>
      <w:r w:rsidRPr="0025512A">
        <w:rPr>
          <w:b/>
        </w:rPr>
        <w:lastRenderedPageBreak/>
        <w:t>‘Leave no-one behind’ – a key theme of the SDGs</w:t>
      </w:r>
    </w:p>
    <w:p w:rsidR="00D574DB" w:rsidRDefault="00DE7F58" w:rsidP="00D574DB">
      <w:pPr>
        <w:spacing w:after="120"/>
        <w:ind w:left="0"/>
      </w:pPr>
      <w:r>
        <w:t>T</w:t>
      </w:r>
      <w:r w:rsidRPr="00DE7F58">
        <w:t>he pledge that no one will be left behind, and the endeavour to reach the most disadvantaged (those ‘furthest behind’) first, are key concepts for HelpAge, providing us with the opportunity to ensure the inclusion of all older people in the 2030 development agenda.</w:t>
      </w:r>
      <w:r>
        <w:t xml:space="preserve"> </w:t>
      </w:r>
      <w:r w:rsidR="00D574DB">
        <w:t xml:space="preserve">The idea that ‘no goal should be met unless it is met for everyone’ is well established in the rhetoric around the new goals. This means ensuring that every individual achieves all the rights and opportunities contained within the SDGs. </w:t>
      </w:r>
    </w:p>
    <w:p w:rsidR="00D574DB" w:rsidRDefault="00D574DB" w:rsidP="00D574DB">
      <w:pPr>
        <w:spacing w:after="120"/>
        <w:ind w:left="0"/>
      </w:pPr>
      <w:r>
        <w:t xml:space="preserve">It is less clear what this will mean in practice. For example, some agencies (including DFID) acknowledge the need first of all to establish who is being left behind, where they are and why they are excluded. For this DFID say that it will be necessary to strengthen the collection and use of disaggregated </w:t>
      </w:r>
      <w:proofErr w:type="gramStart"/>
      <w:r>
        <w:t>data,</w:t>
      </w:r>
      <w:proofErr w:type="gramEnd"/>
      <w:r>
        <w:t xml:space="preserve"> and to build evidence of what works with the most disadvantaged groups. </w:t>
      </w:r>
    </w:p>
    <w:p w:rsidR="00D574DB" w:rsidRDefault="00D574DB" w:rsidP="00D574DB">
      <w:pPr>
        <w:spacing w:after="120"/>
        <w:ind w:left="0"/>
      </w:pPr>
      <w:r>
        <w:t>Another key area which has been identified in ensuring no-one is left behind is empowerment. The voices of the most disadvantaged must be heard, whether it is in the design and delivery of policy and programme changes, or in holding governments and service providers to account. At the same time there is a strong focus on the need to challenge negative social norms, and to reform discriminatory laws and institutions.</w:t>
      </w:r>
    </w:p>
    <w:p w:rsidR="005A353E" w:rsidRDefault="00D574DB" w:rsidP="00D574DB">
      <w:pPr>
        <w:spacing w:after="120"/>
        <w:ind w:left="0"/>
      </w:pPr>
      <w:r>
        <w:t>Finally, while economic growth remains firmly on the SDG agenda, the ‘leave no-one behind’ agenda requires that this should be inclusive of everybody, especially the most disadvantaged. The same is true for political institutions and systems, and for social protection, basic services, and infrastructure, all of which should be made accessible to everybody. The central objective of halving extreme poverty was achieved well ahead of the 2015 deadline. It is important to recognise that this achievement has benefited many older people, but many more may still be ‘left behind’.</w:t>
      </w:r>
    </w:p>
    <w:p w:rsidR="007B167F" w:rsidRDefault="007B167F">
      <w:r>
        <w:br w:type="page"/>
      </w:r>
    </w:p>
    <w:p w:rsidR="005D1404" w:rsidRPr="00B360E1" w:rsidRDefault="005010D7" w:rsidP="007F2BD4">
      <w:pPr>
        <w:spacing w:after="120"/>
        <w:ind w:left="0"/>
      </w:pPr>
      <w:r>
        <w:lastRenderedPageBreak/>
        <w:t>T</w:t>
      </w:r>
      <w:r w:rsidR="00CB2A5B" w:rsidRPr="00B360E1">
        <w:t xml:space="preserve">he following </w:t>
      </w:r>
      <w:r w:rsidR="008468BC">
        <w:t>SDGs</w:t>
      </w:r>
      <w:r w:rsidR="00BA2B71">
        <w:t xml:space="preserve"> </w:t>
      </w:r>
      <w:r w:rsidR="000600C5">
        <w:t>are</w:t>
      </w:r>
      <w:r w:rsidR="00AD59EB">
        <w:t xml:space="preserve"> </w:t>
      </w:r>
      <w:proofErr w:type="gramStart"/>
      <w:r w:rsidR="00AD59EB">
        <w:t>key</w:t>
      </w:r>
      <w:proofErr w:type="gramEnd"/>
      <w:r w:rsidR="00AD59EB">
        <w:t xml:space="preserve"> to the concerns of the HelpAge global network</w:t>
      </w:r>
      <w:r w:rsidR="00F94F81" w:rsidRPr="00B360E1">
        <w:t>:</w:t>
      </w:r>
    </w:p>
    <w:p w:rsidR="005D1404" w:rsidRPr="00B360E1" w:rsidRDefault="005D1404" w:rsidP="007F2BD4">
      <w:pPr>
        <w:spacing w:after="120"/>
        <w:ind w:left="0"/>
      </w:pPr>
      <w:r w:rsidRPr="00B360E1">
        <w:t>1.</w:t>
      </w:r>
      <w:r w:rsidRPr="00B360E1">
        <w:tab/>
        <w:t>Poverty - End poverty in all its forms everywhere</w:t>
      </w:r>
    </w:p>
    <w:p w:rsidR="005D1404" w:rsidRPr="00B360E1" w:rsidRDefault="005D1404" w:rsidP="007F2BD4">
      <w:pPr>
        <w:spacing w:after="120"/>
        <w:ind w:hanging="720"/>
      </w:pPr>
      <w:r w:rsidRPr="00B360E1">
        <w:t>2.</w:t>
      </w:r>
      <w:r w:rsidRPr="00B360E1">
        <w:tab/>
        <w:t>Food - End hunger, achieve food security and improved nutrition and promote sustainable agriculture</w:t>
      </w:r>
    </w:p>
    <w:p w:rsidR="005D1404" w:rsidRPr="00B360E1" w:rsidRDefault="005D1404" w:rsidP="007F2BD4">
      <w:pPr>
        <w:spacing w:after="120"/>
        <w:ind w:left="0"/>
      </w:pPr>
      <w:r w:rsidRPr="00B360E1">
        <w:t>3.</w:t>
      </w:r>
      <w:r w:rsidRPr="00B360E1">
        <w:tab/>
        <w:t>Health - Ensure healthy lives and promote well-being for all at all ages</w:t>
      </w:r>
    </w:p>
    <w:p w:rsidR="005D1404" w:rsidRPr="00B360E1" w:rsidRDefault="005D1404" w:rsidP="007F2BD4">
      <w:pPr>
        <w:spacing w:after="120"/>
        <w:ind w:hanging="720"/>
      </w:pPr>
      <w:r w:rsidRPr="00B360E1">
        <w:t>4.</w:t>
      </w:r>
      <w:r w:rsidRPr="00B360E1">
        <w:tab/>
        <w:t>Education - Ensure inclusive and equitable quality education and promote lifelong learning opportunities for all</w:t>
      </w:r>
    </w:p>
    <w:p w:rsidR="005D1404" w:rsidRPr="00B360E1" w:rsidRDefault="005D1404" w:rsidP="007F2BD4">
      <w:pPr>
        <w:spacing w:after="120"/>
        <w:ind w:left="0"/>
      </w:pPr>
      <w:r w:rsidRPr="00B360E1">
        <w:t>5.</w:t>
      </w:r>
      <w:r w:rsidRPr="00B360E1">
        <w:tab/>
        <w:t>Women - Achieve gender equality and empower all women and girls</w:t>
      </w:r>
    </w:p>
    <w:p w:rsidR="00EE1208" w:rsidRPr="00B360E1" w:rsidRDefault="00EE1208" w:rsidP="007F2BD4">
      <w:pPr>
        <w:spacing w:after="120"/>
        <w:ind w:left="0"/>
      </w:pPr>
      <w:r w:rsidRPr="00B360E1">
        <w:t>10.</w:t>
      </w:r>
      <w:r w:rsidRPr="00B360E1">
        <w:tab/>
        <w:t>Reduce inequality within and among countries</w:t>
      </w:r>
    </w:p>
    <w:p w:rsidR="005D1404" w:rsidRDefault="005D1404" w:rsidP="007F2BD4">
      <w:pPr>
        <w:spacing w:after="120"/>
        <w:ind w:left="0"/>
      </w:pPr>
      <w:r w:rsidRPr="00B360E1">
        <w:t>11.</w:t>
      </w:r>
      <w:r w:rsidRPr="00B360E1">
        <w:tab/>
        <w:t>Make cities and human settlements inclusive, s</w:t>
      </w:r>
      <w:r w:rsidR="001121EC" w:rsidRPr="00B360E1">
        <w:t>afe, resilient and sustainable</w:t>
      </w:r>
    </w:p>
    <w:p w:rsidR="00B54614" w:rsidRDefault="00C9737A" w:rsidP="007F2BD4">
      <w:pPr>
        <w:spacing w:after="120"/>
        <w:ind w:hanging="720"/>
      </w:pPr>
      <w:r>
        <w:t>16</w:t>
      </w:r>
      <w:r w:rsidR="00442EED">
        <w:t xml:space="preserve">. </w:t>
      </w:r>
      <w:r w:rsidR="00442EED">
        <w:tab/>
      </w:r>
      <w:r>
        <w:t>Promote peaceful and inclusive societies for sustainable development, provide access to justice for all and build effective, account</w:t>
      </w:r>
      <w:r w:rsidR="00EC2640">
        <w:t>able and inclusive institutions.</w:t>
      </w:r>
    </w:p>
    <w:p w:rsidR="006101FE" w:rsidRDefault="000F5105" w:rsidP="007F2BD4">
      <w:pPr>
        <w:spacing w:after="120"/>
        <w:rPr>
          <w:b/>
        </w:rPr>
      </w:pPr>
      <w:r>
        <w:rPr>
          <w:b/>
        </w:rPr>
        <w:br w:type="page"/>
      </w:r>
    </w:p>
    <w:p w:rsidR="00292896" w:rsidRDefault="003F2313" w:rsidP="007F2BD4">
      <w:pPr>
        <w:spacing w:after="120"/>
        <w:ind w:left="0"/>
        <w:rPr>
          <w:b/>
        </w:rPr>
      </w:pPr>
      <w:r w:rsidRPr="0044753E">
        <w:rPr>
          <w:b/>
        </w:rPr>
        <w:lastRenderedPageBreak/>
        <w:t xml:space="preserve">HelpAge </w:t>
      </w:r>
      <w:r w:rsidR="008C2C2F">
        <w:rPr>
          <w:b/>
        </w:rPr>
        <w:t>Goal</w:t>
      </w:r>
      <w:r w:rsidR="007B167F">
        <w:rPr>
          <w:b/>
        </w:rPr>
        <w:t xml:space="preserve"> </w:t>
      </w:r>
      <w:r w:rsidR="00A17A9E">
        <w:rPr>
          <w:b/>
        </w:rPr>
        <w:t>1</w:t>
      </w:r>
      <w:r w:rsidRPr="0044753E">
        <w:rPr>
          <w:b/>
        </w:rPr>
        <w:t xml:space="preserve"> -</w:t>
      </w:r>
      <w:r w:rsidR="00BA2B71">
        <w:rPr>
          <w:b/>
        </w:rPr>
        <w:t xml:space="preserve"> </w:t>
      </w:r>
      <w:r w:rsidR="002904F9" w:rsidRPr="0044753E">
        <w:rPr>
          <w:b/>
        </w:rPr>
        <w:t>I have the income I nee</w:t>
      </w:r>
      <w:r w:rsidR="0044753E">
        <w:rPr>
          <w:b/>
        </w:rPr>
        <w:t>d</w:t>
      </w:r>
    </w:p>
    <w:p w:rsidR="007B167F" w:rsidRDefault="007B167F" w:rsidP="007F2BD4">
      <w:pPr>
        <w:spacing w:after="120"/>
        <w:ind w:left="0"/>
        <w:rPr>
          <w:b/>
        </w:rPr>
      </w:pPr>
    </w:p>
    <w:p w:rsidR="00C90195" w:rsidRPr="0044753E" w:rsidRDefault="00C90195" w:rsidP="007F2BD4">
      <w:pPr>
        <w:spacing w:after="120"/>
        <w:ind w:left="0"/>
        <w:rPr>
          <w:b/>
        </w:rPr>
      </w:pPr>
      <w:r>
        <w:rPr>
          <w:b/>
        </w:rPr>
        <w:t>What the SDGs say</w:t>
      </w:r>
    </w:p>
    <w:p w:rsidR="00FD5B7F" w:rsidRDefault="00FD5B7F" w:rsidP="007F2BD4">
      <w:pPr>
        <w:pStyle w:val="Heading2"/>
        <w:spacing w:before="0" w:after="120"/>
        <w:ind w:left="0"/>
        <w:rPr>
          <w:rFonts w:asciiTheme="minorHAnsi" w:hAnsiTheme="minorHAnsi"/>
          <w:b w:val="0"/>
          <w:color w:val="auto"/>
          <w:sz w:val="24"/>
          <w:szCs w:val="24"/>
        </w:rPr>
      </w:pPr>
    </w:p>
    <w:p w:rsidR="000043D9" w:rsidRPr="0044753E" w:rsidRDefault="003F2313" w:rsidP="007F2BD4">
      <w:pPr>
        <w:pStyle w:val="Heading2"/>
        <w:spacing w:before="0" w:after="120"/>
        <w:ind w:left="0"/>
        <w:rPr>
          <w:rFonts w:asciiTheme="minorHAnsi" w:hAnsiTheme="minorHAnsi"/>
          <w:b w:val="0"/>
          <w:color w:val="auto"/>
          <w:sz w:val="24"/>
          <w:szCs w:val="24"/>
        </w:rPr>
      </w:pPr>
      <w:r w:rsidRPr="0044753E">
        <w:rPr>
          <w:rFonts w:asciiTheme="minorHAnsi" w:hAnsiTheme="minorHAnsi"/>
          <w:b w:val="0"/>
          <w:color w:val="auto"/>
          <w:sz w:val="24"/>
          <w:szCs w:val="24"/>
        </w:rPr>
        <w:t xml:space="preserve">SDG </w:t>
      </w:r>
      <w:r w:rsidR="00CF5B64">
        <w:rPr>
          <w:rFonts w:asciiTheme="minorHAnsi" w:hAnsiTheme="minorHAnsi"/>
          <w:b w:val="0"/>
          <w:color w:val="auto"/>
          <w:sz w:val="24"/>
          <w:szCs w:val="24"/>
        </w:rPr>
        <w:t>1</w:t>
      </w:r>
      <w:r w:rsidR="00FE410E" w:rsidRPr="0044753E">
        <w:rPr>
          <w:rFonts w:asciiTheme="minorHAnsi" w:hAnsiTheme="minorHAnsi"/>
          <w:b w:val="0"/>
          <w:color w:val="auto"/>
          <w:sz w:val="24"/>
          <w:szCs w:val="24"/>
        </w:rPr>
        <w:t>: End poverty in all its forms everywhere</w:t>
      </w:r>
      <w:r w:rsidR="000600C5">
        <w:rPr>
          <w:rFonts w:asciiTheme="minorHAnsi" w:hAnsiTheme="minorHAnsi"/>
          <w:b w:val="0"/>
          <w:color w:val="auto"/>
          <w:sz w:val="24"/>
          <w:szCs w:val="24"/>
        </w:rPr>
        <w:t>.</w:t>
      </w:r>
    </w:p>
    <w:p w:rsidR="006C1C67" w:rsidRDefault="006C1C67" w:rsidP="007F2BD4">
      <w:pPr>
        <w:autoSpaceDE w:val="0"/>
        <w:autoSpaceDN w:val="0"/>
        <w:adjustRightInd w:val="0"/>
        <w:spacing w:after="120"/>
        <w:ind w:left="0"/>
      </w:pPr>
    </w:p>
    <w:p w:rsidR="00621D9F" w:rsidRPr="00BB03CB" w:rsidRDefault="001D1600" w:rsidP="00BB03CB">
      <w:pPr>
        <w:autoSpaceDE w:val="0"/>
        <w:autoSpaceDN w:val="0"/>
        <w:adjustRightInd w:val="0"/>
        <w:spacing w:after="120"/>
        <w:ind w:left="0"/>
        <w:rPr>
          <w:rFonts w:cs="TimesNewRoman"/>
        </w:rPr>
      </w:pPr>
      <w:r w:rsidRPr="002F7237">
        <w:t>Target</w:t>
      </w:r>
      <w:r w:rsidR="00FE410E" w:rsidRPr="002F7237">
        <w:t xml:space="preserve"> 1.1: </w:t>
      </w:r>
      <w:r w:rsidR="002F7237" w:rsidRPr="002F7237">
        <w:rPr>
          <w:rFonts w:cs="TimesNewRoman"/>
        </w:rPr>
        <w:t>By 2030, eradicate extreme poverty for all people everywhere, currently</w:t>
      </w:r>
      <w:r w:rsidR="00790BE9">
        <w:rPr>
          <w:rFonts w:cs="TimesNewRoman"/>
        </w:rPr>
        <w:t xml:space="preserve"> </w:t>
      </w:r>
      <w:r w:rsidR="002F7237" w:rsidRPr="002F7237">
        <w:rPr>
          <w:rFonts w:cs="TimesNewRoman"/>
        </w:rPr>
        <w:t>measured as people living on less than $1.25 a day</w:t>
      </w:r>
      <w:r w:rsidR="000600C5" w:rsidRPr="002F7237">
        <w:t>.</w:t>
      </w:r>
    </w:p>
    <w:p w:rsidR="006C1C67" w:rsidRDefault="006C1C67" w:rsidP="007F2BD4">
      <w:pPr>
        <w:autoSpaceDE w:val="0"/>
        <w:autoSpaceDN w:val="0"/>
        <w:adjustRightInd w:val="0"/>
        <w:spacing w:after="120"/>
        <w:ind w:left="0"/>
      </w:pPr>
    </w:p>
    <w:p w:rsidR="00621D9F" w:rsidRPr="00BB03CB" w:rsidRDefault="001D1600" w:rsidP="00BB03CB">
      <w:pPr>
        <w:autoSpaceDE w:val="0"/>
        <w:autoSpaceDN w:val="0"/>
        <w:adjustRightInd w:val="0"/>
        <w:spacing w:after="120"/>
        <w:ind w:left="0"/>
        <w:rPr>
          <w:rFonts w:cs="TimesNewRoman"/>
        </w:rPr>
      </w:pPr>
      <w:r w:rsidRPr="002F7237">
        <w:t>Target</w:t>
      </w:r>
      <w:r w:rsidR="00FE410E" w:rsidRPr="002F7237">
        <w:t xml:space="preserve"> 1.2: </w:t>
      </w:r>
      <w:r w:rsidR="002F7237" w:rsidRPr="002F7237">
        <w:rPr>
          <w:rFonts w:cs="TimesNewRoman"/>
        </w:rPr>
        <w:t>By 2030, reduce at least by half the proportion of men, women and children of</w:t>
      </w:r>
      <w:r w:rsidR="00BB03CB">
        <w:rPr>
          <w:rFonts w:cs="TimesNewRoman"/>
        </w:rPr>
        <w:t xml:space="preserve"> </w:t>
      </w:r>
      <w:r w:rsidR="002F7237" w:rsidRPr="002F7237">
        <w:rPr>
          <w:rFonts w:cs="TimesNewRoman"/>
        </w:rPr>
        <w:t>all ages living in poverty in all its dimensions according to national definitions</w:t>
      </w:r>
      <w:r w:rsidR="00136F2B">
        <w:rPr>
          <w:rFonts w:cs="TimesNewRoman"/>
        </w:rPr>
        <w:t>.</w:t>
      </w:r>
    </w:p>
    <w:p w:rsidR="006C1C67" w:rsidRDefault="006C1C67" w:rsidP="007F2BD4">
      <w:pPr>
        <w:autoSpaceDE w:val="0"/>
        <w:autoSpaceDN w:val="0"/>
        <w:adjustRightInd w:val="0"/>
        <w:spacing w:after="120"/>
        <w:ind w:left="0"/>
      </w:pPr>
    </w:p>
    <w:p w:rsidR="00072BA2" w:rsidRDefault="001D1600" w:rsidP="00BB03CB">
      <w:pPr>
        <w:autoSpaceDE w:val="0"/>
        <w:autoSpaceDN w:val="0"/>
        <w:adjustRightInd w:val="0"/>
        <w:spacing w:after="120"/>
        <w:ind w:left="0"/>
        <w:rPr>
          <w:rFonts w:cs="TimesNewRoman"/>
        </w:rPr>
      </w:pPr>
      <w:r w:rsidRPr="00736F02">
        <w:t>Target</w:t>
      </w:r>
      <w:r w:rsidR="00621D9F" w:rsidRPr="00736F02">
        <w:t xml:space="preserve"> 1.3 </w:t>
      </w:r>
      <w:r w:rsidR="00736F02" w:rsidRPr="00736F02">
        <w:rPr>
          <w:rFonts w:cs="TimesNewRoman"/>
        </w:rPr>
        <w:t>Implement nationally appropriate social protection systems and measures for</w:t>
      </w:r>
      <w:r w:rsidR="00BB03CB">
        <w:rPr>
          <w:rFonts w:cs="TimesNewRoman"/>
        </w:rPr>
        <w:t xml:space="preserve"> </w:t>
      </w:r>
      <w:r w:rsidR="00736F02" w:rsidRPr="00736F02">
        <w:rPr>
          <w:rFonts w:cs="TimesNewRoman"/>
        </w:rPr>
        <w:t>all, including floors, and by 2030 achieve substantial coverage of the poor and the</w:t>
      </w:r>
      <w:r w:rsidR="00790BE9">
        <w:rPr>
          <w:rFonts w:cs="TimesNewRoman"/>
        </w:rPr>
        <w:t xml:space="preserve"> </w:t>
      </w:r>
      <w:r w:rsidR="00736F02" w:rsidRPr="00736F02">
        <w:rPr>
          <w:rFonts w:cs="TimesNewRoman"/>
        </w:rPr>
        <w:t>vulnerable</w:t>
      </w:r>
      <w:r w:rsidR="00136F2B">
        <w:rPr>
          <w:rFonts w:cs="TimesNewRoman"/>
        </w:rPr>
        <w:t>.</w:t>
      </w:r>
    </w:p>
    <w:p w:rsidR="00797088" w:rsidRPr="00797088" w:rsidRDefault="00797088" w:rsidP="007F2BD4">
      <w:pPr>
        <w:spacing w:after="120"/>
        <w:ind w:left="0"/>
        <w:rPr>
          <w:rFonts w:cs="TimesNewRoman"/>
        </w:rPr>
      </w:pPr>
    </w:p>
    <w:p w:rsidR="0071104D" w:rsidRDefault="0071104D" w:rsidP="007F2BD4">
      <w:pPr>
        <w:spacing w:after="120"/>
        <w:ind w:left="0"/>
      </w:pPr>
      <w:r w:rsidRPr="00B360E1">
        <w:t xml:space="preserve">The </w:t>
      </w:r>
      <w:r w:rsidR="001D1600">
        <w:t>Indicator</w:t>
      </w:r>
      <w:r w:rsidRPr="00B360E1">
        <w:t xml:space="preserve">s identified to measure these </w:t>
      </w:r>
      <w:r w:rsidR="001D1600">
        <w:t>Target</w:t>
      </w:r>
      <w:r w:rsidRPr="00B360E1">
        <w:t>s both specifically highlight that they should be disaggregated by age.</w:t>
      </w:r>
    </w:p>
    <w:p w:rsidR="00790BE9" w:rsidRPr="00B360E1" w:rsidRDefault="00790BE9" w:rsidP="007F2BD4">
      <w:pPr>
        <w:spacing w:after="120"/>
        <w:ind w:left="0"/>
      </w:pPr>
    </w:p>
    <w:p w:rsidR="00961AA7" w:rsidRDefault="0071104D" w:rsidP="007F2BD4">
      <w:pPr>
        <w:spacing w:after="120"/>
        <w:ind w:left="0"/>
      </w:pPr>
      <w:r w:rsidRPr="00B360E1">
        <w:t xml:space="preserve">Social protection is also included </w:t>
      </w:r>
      <w:r w:rsidR="007E22A1">
        <w:t>in</w:t>
      </w:r>
      <w:r w:rsidRPr="00B360E1">
        <w:t xml:space="preserve"> other </w:t>
      </w:r>
      <w:r w:rsidR="007E22A1">
        <w:t>SDGs,</w:t>
      </w:r>
      <w:r w:rsidRPr="00B360E1">
        <w:t xml:space="preserve"> including </w:t>
      </w:r>
      <w:r w:rsidR="007E22A1">
        <w:t>SDG5</w:t>
      </w:r>
      <w:r w:rsidR="00095F45" w:rsidRPr="00B360E1">
        <w:t xml:space="preserve"> on gender equality (</w:t>
      </w:r>
      <w:r w:rsidR="001D1600">
        <w:t>target</w:t>
      </w:r>
      <w:r w:rsidR="00095F45" w:rsidRPr="00B360E1">
        <w:t xml:space="preserve"> 5.4</w:t>
      </w:r>
      <w:r w:rsidRPr="00B360E1">
        <w:t xml:space="preserve">) and </w:t>
      </w:r>
      <w:r w:rsidR="00A17A9E">
        <w:t>SDG</w:t>
      </w:r>
      <w:r w:rsidRPr="00B360E1">
        <w:t xml:space="preserve"> 10 on reduced inequalities (</w:t>
      </w:r>
      <w:r w:rsidR="001D1600">
        <w:t>target</w:t>
      </w:r>
      <w:r w:rsidRPr="00B360E1">
        <w:t xml:space="preserve"> 10.4)</w:t>
      </w:r>
      <w:r w:rsidR="001D669B" w:rsidRPr="00B360E1">
        <w:t xml:space="preserve">. </w:t>
      </w:r>
    </w:p>
    <w:p w:rsidR="0087081C" w:rsidRDefault="0087081C" w:rsidP="007F2BD4">
      <w:pPr>
        <w:spacing w:after="120"/>
        <w:rPr>
          <w:rFonts w:eastAsiaTheme="majorEastAsia" w:cstheme="majorBidi"/>
          <w:b/>
          <w:bCs/>
        </w:rPr>
      </w:pPr>
      <w:r>
        <w:br w:type="page"/>
      </w:r>
    </w:p>
    <w:p w:rsidR="004C7E29" w:rsidRPr="006C1C67" w:rsidRDefault="00D63E25" w:rsidP="007F2BD4">
      <w:pPr>
        <w:pStyle w:val="Heading3"/>
        <w:spacing w:before="0" w:after="120"/>
        <w:ind w:left="0"/>
        <w:rPr>
          <w:rFonts w:asciiTheme="minorHAnsi" w:hAnsiTheme="minorHAnsi"/>
          <w:color w:val="auto"/>
        </w:rPr>
      </w:pPr>
      <w:proofErr w:type="spellStart"/>
      <w:r w:rsidRPr="0087081C">
        <w:rPr>
          <w:rFonts w:asciiTheme="minorHAnsi" w:hAnsiTheme="minorHAnsi"/>
          <w:color w:val="auto"/>
        </w:rPr>
        <w:lastRenderedPageBreak/>
        <w:t>HelpAge</w:t>
      </w:r>
      <w:r w:rsidR="00C90195" w:rsidRPr="0087081C">
        <w:rPr>
          <w:rFonts w:asciiTheme="minorHAnsi" w:hAnsiTheme="minorHAnsi"/>
          <w:color w:val="auto"/>
        </w:rPr>
        <w:t>’s</w:t>
      </w:r>
      <w:proofErr w:type="spellEnd"/>
      <w:r w:rsidR="006C1C67">
        <w:rPr>
          <w:rFonts w:asciiTheme="minorHAnsi" w:hAnsiTheme="minorHAnsi"/>
          <w:color w:val="auto"/>
        </w:rPr>
        <w:t xml:space="preserve"> Position</w:t>
      </w:r>
    </w:p>
    <w:p w:rsidR="004F741E" w:rsidRPr="0087081C" w:rsidRDefault="00961AA7" w:rsidP="007F2BD4">
      <w:pPr>
        <w:pStyle w:val="ListParagraph"/>
        <w:numPr>
          <w:ilvl w:val="0"/>
          <w:numId w:val="2"/>
        </w:numPr>
        <w:spacing w:after="120"/>
        <w:ind w:left="0"/>
        <w:rPr>
          <w:b/>
        </w:rPr>
      </w:pPr>
      <w:r w:rsidRPr="0087081C">
        <w:rPr>
          <w:rFonts w:eastAsiaTheme="majorEastAsia" w:cstheme="majorBidi"/>
          <w:b/>
          <w:bCs/>
        </w:rPr>
        <w:t xml:space="preserve">Social protection supported under the SDGs must be rights-based, universal and support older people. </w:t>
      </w:r>
    </w:p>
    <w:p w:rsidR="004C25B6" w:rsidRPr="0087081C" w:rsidRDefault="0087081C" w:rsidP="007F2BD4">
      <w:pPr>
        <w:pStyle w:val="ListParagraph"/>
        <w:numPr>
          <w:ilvl w:val="0"/>
          <w:numId w:val="2"/>
        </w:numPr>
        <w:spacing w:after="120"/>
        <w:ind w:left="0"/>
        <w:rPr>
          <w:b/>
        </w:rPr>
      </w:pPr>
      <w:r w:rsidRPr="0087081C">
        <w:rPr>
          <w:b/>
        </w:rPr>
        <w:t>O</w:t>
      </w:r>
      <w:r w:rsidR="004C25B6" w:rsidRPr="0087081C">
        <w:rPr>
          <w:b/>
        </w:rPr>
        <w:t xml:space="preserve">ld age pensions are </w:t>
      </w:r>
      <w:r w:rsidR="001B7C20" w:rsidRPr="0087081C">
        <w:rPr>
          <w:b/>
        </w:rPr>
        <w:t xml:space="preserve">a key component </w:t>
      </w:r>
      <w:r w:rsidR="004C25B6" w:rsidRPr="0087081C">
        <w:rPr>
          <w:b/>
        </w:rPr>
        <w:t xml:space="preserve">of </w:t>
      </w:r>
      <w:r w:rsidR="001B7C20" w:rsidRPr="0087081C">
        <w:rPr>
          <w:b/>
        </w:rPr>
        <w:t xml:space="preserve">lifelong </w:t>
      </w:r>
      <w:r w:rsidR="004C25B6" w:rsidRPr="0087081C">
        <w:rPr>
          <w:b/>
        </w:rPr>
        <w:t>social protection.</w:t>
      </w:r>
    </w:p>
    <w:p w:rsidR="004C25B6" w:rsidRPr="00B360E1" w:rsidRDefault="004C25B6" w:rsidP="007F2BD4">
      <w:pPr>
        <w:pStyle w:val="Heading3"/>
        <w:numPr>
          <w:ilvl w:val="0"/>
          <w:numId w:val="2"/>
        </w:numPr>
        <w:spacing w:before="0" w:after="120"/>
        <w:ind w:left="0"/>
        <w:rPr>
          <w:rFonts w:asciiTheme="minorHAnsi" w:hAnsiTheme="minorHAnsi"/>
          <w:color w:val="auto"/>
        </w:rPr>
      </w:pPr>
      <w:r w:rsidRPr="00B360E1">
        <w:rPr>
          <w:rFonts w:asciiTheme="minorHAnsi" w:hAnsiTheme="minorHAnsi"/>
          <w:color w:val="auto"/>
        </w:rPr>
        <w:t>Old age income securit</w:t>
      </w:r>
      <w:r>
        <w:rPr>
          <w:rFonts w:asciiTheme="minorHAnsi" w:hAnsiTheme="minorHAnsi"/>
          <w:color w:val="auto"/>
        </w:rPr>
        <w:t>y should</w:t>
      </w:r>
      <w:r w:rsidRPr="00B360E1">
        <w:rPr>
          <w:rFonts w:asciiTheme="minorHAnsi" w:hAnsiTheme="minorHAnsi"/>
          <w:color w:val="auto"/>
        </w:rPr>
        <w:t xml:space="preserve"> not </w:t>
      </w:r>
      <w:r>
        <w:rPr>
          <w:rFonts w:asciiTheme="minorHAnsi" w:hAnsiTheme="minorHAnsi"/>
          <w:color w:val="auto"/>
        </w:rPr>
        <w:t xml:space="preserve">simply </w:t>
      </w:r>
      <w:r w:rsidR="001D1600">
        <w:rPr>
          <w:rFonts w:asciiTheme="minorHAnsi" w:hAnsiTheme="minorHAnsi"/>
          <w:color w:val="auto"/>
        </w:rPr>
        <w:t>target</w:t>
      </w:r>
      <w:r w:rsidR="00BA2B71">
        <w:rPr>
          <w:rFonts w:asciiTheme="minorHAnsi" w:hAnsiTheme="minorHAnsi"/>
          <w:color w:val="auto"/>
        </w:rPr>
        <w:t xml:space="preserve"> </w:t>
      </w:r>
      <w:r w:rsidRPr="00B360E1">
        <w:rPr>
          <w:rFonts w:asciiTheme="minorHAnsi" w:hAnsiTheme="minorHAnsi"/>
          <w:color w:val="auto"/>
        </w:rPr>
        <w:t xml:space="preserve">older people </w:t>
      </w:r>
      <w:r w:rsidR="00976652">
        <w:rPr>
          <w:rFonts w:asciiTheme="minorHAnsi" w:hAnsiTheme="minorHAnsi"/>
          <w:color w:val="auto"/>
        </w:rPr>
        <w:t xml:space="preserve">in isolation </w:t>
      </w:r>
      <w:r w:rsidRPr="00B360E1">
        <w:rPr>
          <w:rFonts w:asciiTheme="minorHAnsi" w:hAnsiTheme="minorHAnsi"/>
          <w:color w:val="auto"/>
        </w:rPr>
        <w:t xml:space="preserve">but </w:t>
      </w:r>
      <w:r>
        <w:rPr>
          <w:rFonts w:asciiTheme="minorHAnsi" w:hAnsiTheme="minorHAnsi"/>
          <w:color w:val="auto"/>
        </w:rPr>
        <w:t xml:space="preserve">support </w:t>
      </w:r>
      <w:r w:rsidR="00961AA7">
        <w:rPr>
          <w:rFonts w:asciiTheme="minorHAnsi" w:hAnsiTheme="minorHAnsi"/>
          <w:color w:val="auto"/>
        </w:rPr>
        <w:t>them</w:t>
      </w:r>
      <w:r>
        <w:rPr>
          <w:rFonts w:asciiTheme="minorHAnsi" w:hAnsiTheme="minorHAnsi"/>
          <w:color w:val="auto"/>
        </w:rPr>
        <w:t xml:space="preserve"> as part of</w:t>
      </w:r>
      <w:r w:rsidR="00BA2B71">
        <w:rPr>
          <w:rFonts w:asciiTheme="minorHAnsi" w:hAnsiTheme="minorHAnsi"/>
          <w:color w:val="auto"/>
        </w:rPr>
        <w:t xml:space="preserve"> </w:t>
      </w:r>
      <w:r w:rsidR="00976652">
        <w:rPr>
          <w:rFonts w:asciiTheme="minorHAnsi" w:hAnsiTheme="minorHAnsi"/>
          <w:color w:val="auto"/>
        </w:rPr>
        <w:t xml:space="preserve">their </w:t>
      </w:r>
      <w:r w:rsidRPr="00B360E1">
        <w:rPr>
          <w:rFonts w:asciiTheme="minorHAnsi" w:hAnsiTheme="minorHAnsi"/>
          <w:color w:val="auto"/>
        </w:rPr>
        <w:t>families and communities</w:t>
      </w:r>
      <w:r>
        <w:rPr>
          <w:rFonts w:asciiTheme="minorHAnsi" w:hAnsiTheme="minorHAnsi"/>
          <w:color w:val="auto"/>
        </w:rPr>
        <w:t>.</w:t>
      </w:r>
    </w:p>
    <w:p w:rsidR="00D50A00" w:rsidRDefault="00082B1B" w:rsidP="007F2BD4">
      <w:pPr>
        <w:spacing w:after="120"/>
        <w:ind w:left="0"/>
      </w:pPr>
      <w:r>
        <w:t>The aim of SD</w:t>
      </w:r>
      <w:r w:rsidR="00B04644" w:rsidRPr="00F00599">
        <w:t xml:space="preserve">G </w:t>
      </w:r>
      <w:r w:rsidR="00CB4AFA">
        <w:t xml:space="preserve">1, </w:t>
      </w:r>
      <w:r w:rsidR="00B04644" w:rsidRPr="00F00599">
        <w:t>to “end poverty in all its forms everywhere”</w:t>
      </w:r>
      <w:r w:rsidR="00CB4AFA">
        <w:t>,</w:t>
      </w:r>
      <w:r w:rsidR="00B04644" w:rsidRPr="00F00599">
        <w:t xml:space="preserve"> ma</w:t>
      </w:r>
      <w:r w:rsidR="008C2C2F">
        <w:t>kes this arguably the headline goal</w:t>
      </w:r>
      <w:r w:rsidR="00B04644" w:rsidRPr="00F00599">
        <w:t xml:space="preserve">, and experience from implementation of the </w:t>
      </w:r>
      <w:r w:rsidR="0097463A">
        <w:t xml:space="preserve">Millennium Development </w:t>
      </w:r>
      <w:proofErr w:type="gramStart"/>
      <w:r w:rsidR="0097463A">
        <w:t>Goals</w:t>
      </w:r>
      <w:r w:rsidR="00142D20">
        <w:t xml:space="preserve">  (</w:t>
      </w:r>
      <w:proofErr w:type="gramEnd"/>
      <w:r w:rsidR="00B04644" w:rsidRPr="00F00599">
        <w:t>MDGs</w:t>
      </w:r>
      <w:r w:rsidR="0097463A">
        <w:t>)</w:t>
      </w:r>
      <w:r w:rsidR="00B04644" w:rsidRPr="00F00599">
        <w:t xml:space="preserve"> suggests </w:t>
      </w:r>
      <w:r w:rsidR="00B04644">
        <w:t xml:space="preserve">that this </w:t>
      </w:r>
      <w:r w:rsidR="008C2C2F">
        <w:t>goal</w:t>
      </w:r>
      <w:r w:rsidR="00BA2B71">
        <w:t xml:space="preserve"> </w:t>
      </w:r>
      <w:r w:rsidR="00B04644" w:rsidRPr="00F00599">
        <w:t xml:space="preserve">will gain particular attention. </w:t>
      </w:r>
      <w:r w:rsidR="00D50A00">
        <w:t>We welcome the implicit inclusion of ageing</w:t>
      </w:r>
      <w:r w:rsidR="00D50A00" w:rsidRPr="00D50A00">
        <w:t xml:space="preserve"> in the first two </w:t>
      </w:r>
      <w:r w:rsidR="00A154A2">
        <w:t>t</w:t>
      </w:r>
      <w:r w:rsidR="001D1600">
        <w:t>arget</w:t>
      </w:r>
      <w:r w:rsidR="00D50A00" w:rsidRPr="00D50A00">
        <w:t>s</w:t>
      </w:r>
      <w:r w:rsidR="005416E7">
        <w:t xml:space="preserve"> and their </w:t>
      </w:r>
      <w:r w:rsidR="00A154A2">
        <w:t>i</w:t>
      </w:r>
      <w:r w:rsidR="001D1600">
        <w:t>ndicator</w:t>
      </w:r>
      <w:r w:rsidR="00D50A00" w:rsidRPr="00D50A00">
        <w:t>s</w:t>
      </w:r>
      <w:r w:rsidR="005416E7">
        <w:t>,</w:t>
      </w:r>
      <w:r w:rsidR="00BA2B71">
        <w:t xml:space="preserve"> </w:t>
      </w:r>
      <w:r w:rsidR="005416E7">
        <w:t xml:space="preserve">which </w:t>
      </w:r>
      <w:r w:rsidR="008D3FFD">
        <w:t>both specify</w:t>
      </w:r>
      <w:r w:rsidR="00D50A00" w:rsidRPr="00D50A00">
        <w:t xml:space="preserve"> that they should be disaggregated by age</w:t>
      </w:r>
      <w:r w:rsidR="009C7FC2">
        <w:t>, and the fact that s</w:t>
      </w:r>
      <w:r w:rsidR="009C7FC2" w:rsidRPr="00F00599">
        <w:t>ocial protection (</w:t>
      </w:r>
      <w:r w:rsidR="00F71498">
        <w:t xml:space="preserve">as </w:t>
      </w:r>
      <w:r w:rsidR="009C7FC2" w:rsidRPr="00F00599">
        <w:t xml:space="preserve">a core part of ensuring older people “have the income they need”) also appears prominently under this </w:t>
      </w:r>
      <w:r w:rsidR="00A154A2">
        <w:t>g</w:t>
      </w:r>
      <w:r w:rsidR="008C2C2F">
        <w:t>oal</w:t>
      </w:r>
      <w:r w:rsidR="009C7FC2">
        <w:t>.</w:t>
      </w:r>
      <w:r w:rsidR="00BA2B71">
        <w:t xml:space="preserve"> </w:t>
      </w:r>
      <w:r w:rsidR="003617FE" w:rsidRPr="00F00599">
        <w:t xml:space="preserve">Its inclusion in a </w:t>
      </w:r>
      <w:r w:rsidR="003617FE" w:rsidRPr="003617FE">
        <w:t xml:space="preserve">number of </w:t>
      </w:r>
      <w:r w:rsidR="00A154A2">
        <w:t>g</w:t>
      </w:r>
      <w:r w:rsidR="008C2C2F">
        <w:t>oal</w:t>
      </w:r>
      <w:r w:rsidR="003617FE" w:rsidRPr="003617FE">
        <w:t>s also highlights</w:t>
      </w:r>
      <w:r w:rsidR="003617FE" w:rsidRPr="00F00599">
        <w:t xml:space="preserve"> the fact that social protection contributes to a wider range of</w:t>
      </w:r>
      <w:r w:rsidR="00BA2B71">
        <w:t xml:space="preserve"> </w:t>
      </w:r>
      <w:r w:rsidR="003617FE" w:rsidRPr="00F00599">
        <w:t>outcomes, not only poverty</w:t>
      </w:r>
      <w:r w:rsidR="00915E6B">
        <w:t xml:space="preserve"> but </w:t>
      </w:r>
      <w:r w:rsidR="00915E6B" w:rsidRPr="00F00599">
        <w:t>health, employment, reduced hunger, decent work, peace and justice</w:t>
      </w:r>
      <w:r w:rsidR="00915E6B">
        <w:t>.</w:t>
      </w:r>
    </w:p>
    <w:p w:rsidR="00D436A6" w:rsidRDefault="00D8628F" w:rsidP="007F2BD4">
      <w:pPr>
        <w:spacing w:after="120"/>
        <w:ind w:left="0"/>
      </w:pPr>
      <w:r>
        <w:t>S</w:t>
      </w:r>
      <w:r w:rsidR="00B04644" w:rsidRPr="00B360E1">
        <w:t xml:space="preserve">ocial protection was absent from the MDGs, </w:t>
      </w:r>
      <w:r>
        <w:t xml:space="preserve">so </w:t>
      </w:r>
      <w:r w:rsidR="00B04644" w:rsidRPr="00B360E1">
        <w:t xml:space="preserve">its recognition under </w:t>
      </w:r>
      <w:r w:rsidR="00852C49">
        <w:t>SDG1</w:t>
      </w:r>
      <w:r w:rsidR="00B04644" w:rsidRPr="00B360E1">
        <w:t xml:space="preserve"> on poverty signals a significant shift in understanding of how social protection contributes to poverty reduction. </w:t>
      </w:r>
      <w:r w:rsidR="00D051EF">
        <w:t>R</w:t>
      </w:r>
      <w:r w:rsidR="00860BDD" w:rsidRPr="00F00599">
        <w:t>eference to social protection floors also provides a</w:t>
      </w:r>
      <w:r w:rsidR="00860BDD">
        <w:t>n</w:t>
      </w:r>
      <w:r w:rsidR="00860BDD" w:rsidRPr="00F00599">
        <w:t xml:space="preserve"> entry point for our strategic focus on pensions</w:t>
      </w:r>
      <w:r w:rsidR="003A243B">
        <w:t xml:space="preserve">, since these </w:t>
      </w:r>
      <w:r w:rsidR="00860BDD" w:rsidRPr="00F00599">
        <w:t>are the standard for rights-based social protection</w:t>
      </w:r>
      <w:r w:rsidR="008C5741">
        <w:t>, and are</w:t>
      </w:r>
      <w:r w:rsidR="00BA2B71">
        <w:t xml:space="preserve"> </w:t>
      </w:r>
      <w:r w:rsidR="00022AEF">
        <w:t xml:space="preserve">at </w:t>
      </w:r>
      <w:r w:rsidR="00860BDD" w:rsidRPr="00F00599">
        <w:t xml:space="preserve">the core of </w:t>
      </w:r>
      <w:r w:rsidR="0034238F">
        <w:t xml:space="preserve">the HelpAge </w:t>
      </w:r>
      <w:r w:rsidR="00860BDD" w:rsidRPr="00F00599">
        <w:t xml:space="preserve">mission. </w:t>
      </w:r>
      <w:r w:rsidR="00860BDD">
        <w:t>R</w:t>
      </w:r>
      <w:r w:rsidR="00860BDD" w:rsidRPr="00F00599">
        <w:t xml:space="preserve">eference to social protection floors also </w:t>
      </w:r>
      <w:r w:rsidR="00610C16">
        <w:t xml:space="preserve">gives an </w:t>
      </w:r>
      <w:r w:rsidR="007B0078" w:rsidRPr="00B360E1">
        <w:t xml:space="preserve">opportunity </w:t>
      </w:r>
      <w:r w:rsidR="0047503F">
        <w:t>to discuss</w:t>
      </w:r>
      <w:r w:rsidR="007B0078" w:rsidRPr="00B360E1">
        <w:t xml:space="preserve"> pensions a</w:t>
      </w:r>
      <w:r>
        <w:t xml:space="preserve">t </w:t>
      </w:r>
      <w:r w:rsidR="007B0078" w:rsidRPr="00B360E1">
        <w:t xml:space="preserve">national level </w:t>
      </w:r>
      <w:r w:rsidR="008926A2">
        <w:t>where</w:t>
      </w:r>
      <w:r w:rsidR="007B0078" w:rsidRPr="00B360E1">
        <w:t xml:space="preserve"> governments are aiming to establish social protection schemes address</w:t>
      </w:r>
      <w:r w:rsidR="00E13A89">
        <w:t>ing</w:t>
      </w:r>
      <w:r w:rsidR="007B0078" w:rsidRPr="00B360E1">
        <w:t xml:space="preserve"> a range of risks</w:t>
      </w:r>
      <w:r w:rsidR="00E13A89">
        <w:t>,</w:t>
      </w:r>
      <w:r w:rsidR="00BB03CB">
        <w:t xml:space="preserve"> </w:t>
      </w:r>
      <w:r w:rsidR="00D436A6">
        <w:t>(</w:t>
      </w:r>
      <w:r w:rsidR="007B0078" w:rsidRPr="00B360E1">
        <w:t>raising a family, unemployment</w:t>
      </w:r>
      <w:r w:rsidR="007B0078">
        <w:t>,</w:t>
      </w:r>
      <w:r w:rsidR="007B0078" w:rsidRPr="00C0412F">
        <w:t xml:space="preserve"> disability,</w:t>
      </w:r>
      <w:r w:rsidR="00BA2B71">
        <w:t xml:space="preserve"> </w:t>
      </w:r>
      <w:r w:rsidR="007B0078" w:rsidRPr="00C0412F">
        <w:t xml:space="preserve">old age </w:t>
      </w:r>
      <w:r w:rsidR="007B0078" w:rsidRPr="00B360E1">
        <w:t>etc.</w:t>
      </w:r>
      <w:r w:rsidR="00D436A6">
        <w:t>)</w:t>
      </w:r>
      <w:r w:rsidR="00242ADC">
        <w:t>,</w:t>
      </w:r>
      <w:r w:rsidR="00BB03CB">
        <w:t xml:space="preserve"> </w:t>
      </w:r>
      <w:r w:rsidR="00242ADC">
        <w:t>throughout the life course</w:t>
      </w:r>
      <w:r w:rsidR="00BB03CB">
        <w:t xml:space="preserve"> </w:t>
      </w:r>
      <w:r w:rsidR="00D436A6">
        <w:t xml:space="preserve">- </w:t>
      </w:r>
      <w:r w:rsidR="007B0078" w:rsidRPr="00B360E1">
        <w:t xml:space="preserve">the definition of a social protection floor. </w:t>
      </w:r>
      <w:r w:rsidR="00517424" w:rsidRPr="00517424">
        <w:t>Social protection floors also emphasise the principle of universality</w:t>
      </w:r>
      <w:r w:rsidR="00517424">
        <w:t>, because w</w:t>
      </w:r>
      <w:r w:rsidR="00DE175B" w:rsidRPr="00DE175B">
        <w:t xml:space="preserve">here equality </w:t>
      </w:r>
      <w:r w:rsidR="00287C49">
        <w:t>is the starting point</w:t>
      </w:r>
      <w:r w:rsidR="00DE175B" w:rsidRPr="00DE175B">
        <w:t xml:space="preserve">, the need for comprehensive rather than residual schemes is </w:t>
      </w:r>
      <w:r w:rsidR="00DE175B">
        <w:t>clear</w:t>
      </w:r>
      <w:r w:rsidR="00287C49">
        <w:t>.</w:t>
      </w:r>
      <w:r w:rsidR="00BA2B71">
        <w:t xml:space="preserve"> </w:t>
      </w:r>
      <w:r w:rsidR="003A57D3" w:rsidRPr="00F00599">
        <w:t xml:space="preserve">Old age pensions are </w:t>
      </w:r>
      <w:r w:rsidR="00287C49">
        <w:t>a key</w:t>
      </w:r>
      <w:r w:rsidR="003A57D3">
        <w:t xml:space="preserve"> component of </w:t>
      </w:r>
      <w:r w:rsidR="003A57D3" w:rsidRPr="00F00599">
        <w:t xml:space="preserve">social protection, and have commonly been a first step to a wider system. </w:t>
      </w:r>
    </w:p>
    <w:p w:rsidR="007B0078" w:rsidRDefault="003A57D3" w:rsidP="007F2BD4">
      <w:pPr>
        <w:spacing w:after="120"/>
        <w:ind w:left="0"/>
      </w:pPr>
      <w:r w:rsidRPr="00F00599">
        <w:t xml:space="preserve">The inclusion of social protection under the </w:t>
      </w:r>
      <w:r w:rsidR="00C33EEE">
        <w:t>g</w:t>
      </w:r>
      <w:r w:rsidR="008C2C2F">
        <w:t>oal</w:t>
      </w:r>
      <w:r w:rsidRPr="00F00599">
        <w:t xml:space="preserve"> on inequality is also positive. Where inequality is the starting point for debate around social protection, the need for </w:t>
      </w:r>
      <w:r w:rsidRPr="00F00599">
        <w:lastRenderedPageBreak/>
        <w:t xml:space="preserve">comprehensive systems (rather than residual schemes) is more obvious.  </w:t>
      </w:r>
      <w:r w:rsidR="009904D8">
        <w:t>However, t</w:t>
      </w:r>
      <w:r w:rsidR="009904D8" w:rsidRPr="00F00599">
        <w:t xml:space="preserve">he wording of </w:t>
      </w:r>
      <w:r w:rsidR="001D1600">
        <w:t>Target</w:t>
      </w:r>
      <w:r w:rsidR="009904D8">
        <w:t xml:space="preserve"> 1.3 </w:t>
      </w:r>
      <w:r w:rsidR="000D091A">
        <w:t>suggest</w:t>
      </w:r>
      <w:r w:rsidR="007D7FB0">
        <w:t>s</w:t>
      </w:r>
      <w:r w:rsidR="009904D8" w:rsidRPr="00F00599">
        <w:t xml:space="preserve"> that the focus should be on “the poor and vulnerable”</w:t>
      </w:r>
      <w:r w:rsidR="009904D8">
        <w:t>,</w:t>
      </w:r>
      <w:r w:rsidR="00BA2B71">
        <w:t xml:space="preserve"> </w:t>
      </w:r>
      <w:r w:rsidR="000D091A">
        <w:t>which could contradict</w:t>
      </w:r>
      <w:r w:rsidR="009904D8" w:rsidRPr="00F00599">
        <w:t xml:space="preserve"> the spirit of social protection floors </w:t>
      </w:r>
      <w:r w:rsidR="000D091A">
        <w:t xml:space="preserve">by </w:t>
      </w:r>
      <w:r w:rsidR="009904D8" w:rsidRPr="00F00599">
        <w:t xml:space="preserve">putting the focus on a “safety net” </w:t>
      </w:r>
      <w:r w:rsidR="00676CFF">
        <w:t>approach.</w:t>
      </w:r>
      <w:r w:rsidR="003F58C8">
        <w:t xml:space="preserve"> W</w:t>
      </w:r>
      <w:r w:rsidR="003F58C8" w:rsidRPr="003F58C8">
        <w:t>e challenge the idea that social protection is about helping a small, residual group of poor people. For HelpAge, social protection is about sharing risk between the vast majority of the population who are</w:t>
      </w:r>
      <w:r w:rsidR="005D1972" w:rsidRPr="005D1972">
        <w:t xml:space="preserve"> left behind</w:t>
      </w:r>
      <w:r w:rsidR="005D1972">
        <w:t>, those who are</w:t>
      </w:r>
      <w:r w:rsidR="003F58C8" w:rsidRPr="003F58C8">
        <w:t xml:space="preserve"> poor or highly vulnerable to poverty. </w:t>
      </w:r>
    </w:p>
    <w:p w:rsidR="00FE2308" w:rsidRDefault="00812B2A" w:rsidP="00FE2308">
      <w:pPr>
        <w:spacing w:after="120"/>
        <w:ind w:left="0"/>
      </w:pPr>
      <w:r>
        <w:t>S</w:t>
      </w:r>
      <w:r w:rsidR="00B90B31" w:rsidRPr="00B90B31">
        <w:t xml:space="preserve">ocial protection </w:t>
      </w:r>
      <w:r w:rsidR="00B90B31">
        <w:t>also ne</w:t>
      </w:r>
      <w:r w:rsidR="00B013CC">
        <w:t xml:space="preserve">eds to </w:t>
      </w:r>
      <w:r w:rsidR="00B90B31">
        <w:t>be addressed</w:t>
      </w:r>
      <w:r w:rsidR="00945B80">
        <w:t xml:space="preserve"> </w:t>
      </w:r>
      <w:r w:rsidR="00B013CC">
        <w:t xml:space="preserve">in the </w:t>
      </w:r>
      <w:r w:rsidR="00B90B31">
        <w:t xml:space="preserve">wider </w:t>
      </w:r>
      <w:r w:rsidR="00B013CC">
        <w:t>context of</w:t>
      </w:r>
      <w:r w:rsidR="00B90B31">
        <w:t xml:space="preserve"> income security</w:t>
      </w:r>
      <w:r>
        <w:t xml:space="preserve"> </w:t>
      </w:r>
      <w:r w:rsidR="00505B82">
        <w:t>and economic</w:t>
      </w:r>
      <w:r>
        <w:t xml:space="preserve"> opportunit</w:t>
      </w:r>
      <w:r w:rsidR="00FA4E2C">
        <w:t>ies</w:t>
      </w:r>
      <w:r>
        <w:t xml:space="preserve"> for older people. The</w:t>
      </w:r>
      <w:r w:rsidR="00945B80">
        <w:t xml:space="preserve"> </w:t>
      </w:r>
      <w:r w:rsidR="003A3FEE">
        <w:t>SDGs</w:t>
      </w:r>
      <w:r>
        <w:t>, while they</w:t>
      </w:r>
      <w:r w:rsidR="003A3FEE">
        <w:t xml:space="preserve"> recognise the nee</w:t>
      </w:r>
      <w:r>
        <w:t>d to address income inequality and</w:t>
      </w:r>
      <w:r w:rsidR="003A3FEE">
        <w:t xml:space="preserve"> </w:t>
      </w:r>
      <w:r w:rsidR="00505B82">
        <w:t xml:space="preserve">commit </w:t>
      </w:r>
      <w:r w:rsidR="008419B2">
        <w:t>to support youth employment and women’s empowerment</w:t>
      </w:r>
      <w:r w:rsidR="00FA4E2C">
        <w:t>,</w:t>
      </w:r>
      <w:r w:rsidR="003A3FEE">
        <w:t xml:space="preserve"> </w:t>
      </w:r>
      <w:r w:rsidR="00505B82">
        <w:t xml:space="preserve">ignore </w:t>
      </w:r>
      <w:r w:rsidR="00FA4E2C">
        <w:t xml:space="preserve">the </w:t>
      </w:r>
      <w:r w:rsidR="00505B82" w:rsidRPr="00505B82">
        <w:t>livelihood strategies</w:t>
      </w:r>
      <w:r w:rsidR="00505B82">
        <w:t xml:space="preserve">, as well as the </w:t>
      </w:r>
      <w:r w:rsidR="008419B2">
        <w:t xml:space="preserve">productive </w:t>
      </w:r>
      <w:r w:rsidR="00B013CC">
        <w:t>capacities</w:t>
      </w:r>
      <w:r w:rsidR="008419B2">
        <w:t xml:space="preserve"> and </w:t>
      </w:r>
      <w:r w:rsidR="00B013CC">
        <w:t>potential</w:t>
      </w:r>
      <w:r w:rsidR="008419B2">
        <w:t xml:space="preserve"> o</w:t>
      </w:r>
      <w:r w:rsidR="00B013CC">
        <w:t>f</w:t>
      </w:r>
      <w:r w:rsidR="008419B2">
        <w:t xml:space="preserve"> </w:t>
      </w:r>
      <w:r w:rsidR="00FA4E2C">
        <w:t xml:space="preserve">other age groups, including </w:t>
      </w:r>
      <w:r w:rsidR="008419B2">
        <w:t>older people</w:t>
      </w:r>
      <w:r w:rsidR="00505B82">
        <w:t>.</w:t>
      </w:r>
      <w:r w:rsidR="008B7BC7">
        <w:t xml:space="preserve"> </w:t>
      </w:r>
      <w:r w:rsidR="00FA4E2C">
        <w:t xml:space="preserve">Yet </w:t>
      </w:r>
      <w:r w:rsidR="008B7BC7">
        <w:t>Target</w:t>
      </w:r>
      <w:r w:rsidR="00FA24F6">
        <w:t>s</w:t>
      </w:r>
      <w:r w:rsidR="008B7BC7">
        <w:t xml:space="preserve"> </w:t>
      </w:r>
      <w:r w:rsidR="00FA24F6">
        <w:t xml:space="preserve">such as </w:t>
      </w:r>
      <w:r w:rsidR="008B7BC7">
        <w:t xml:space="preserve">2.2, </w:t>
      </w:r>
      <w:r w:rsidR="00FE2308">
        <w:t xml:space="preserve">to double the agricultural productivity and incomes of small-scale food producers by 2030, will not be achieved without addressing the support needs of the growing proportion of smallholder who are older people. </w:t>
      </w:r>
    </w:p>
    <w:p w:rsidR="000F5105" w:rsidRDefault="000F5105" w:rsidP="00FE2308">
      <w:pPr>
        <w:spacing w:after="120"/>
        <w:ind w:left="0"/>
        <w:rPr>
          <w:b/>
        </w:rPr>
      </w:pPr>
      <w:r>
        <w:rPr>
          <w:b/>
        </w:rPr>
        <w:br w:type="page"/>
      </w:r>
    </w:p>
    <w:p w:rsidR="00B921A0" w:rsidRPr="00B921A0" w:rsidRDefault="00B921A0" w:rsidP="007F2BD4">
      <w:pPr>
        <w:spacing w:after="120"/>
        <w:ind w:left="0"/>
        <w:rPr>
          <w:b/>
        </w:rPr>
      </w:pPr>
      <w:r w:rsidRPr="00B921A0">
        <w:rPr>
          <w:b/>
        </w:rPr>
        <w:lastRenderedPageBreak/>
        <w:t>HelpAge Goal 2 - I enjoy the best possible health and care, wellbeing and dignity</w:t>
      </w:r>
    </w:p>
    <w:p w:rsidR="00B921A0" w:rsidRPr="00B921A0" w:rsidRDefault="00B921A0" w:rsidP="007F2BD4">
      <w:pPr>
        <w:spacing w:after="120"/>
        <w:ind w:left="0"/>
        <w:rPr>
          <w:b/>
        </w:rPr>
      </w:pPr>
      <w:r w:rsidRPr="00B921A0">
        <w:rPr>
          <w:b/>
        </w:rPr>
        <w:t>What the SDGs say</w:t>
      </w:r>
    </w:p>
    <w:p w:rsidR="00B921A0" w:rsidRPr="00EA45BB" w:rsidRDefault="00B921A0" w:rsidP="007F2BD4">
      <w:pPr>
        <w:spacing w:after="120"/>
        <w:ind w:left="0"/>
      </w:pPr>
      <w:r w:rsidRPr="00EA45BB">
        <w:t>SDG 3 - ensure healthy lives and promote well-being for all at all ages</w:t>
      </w:r>
    </w:p>
    <w:p w:rsidR="00B921A0" w:rsidRPr="00EA45BB" w:rsidRDefault="00394544" w:rsidP="007F2BD4">
      <w:pPr>
        <w:spacing w:after="120"/>
        <w:ind w:left="0"/>
      </w:pPr>
      <w:r w:rsidRPr="00EA45BB">
        <w:t xml:space="preserve">Target 3.3 </w:t>
      </w:r>
      <w:proofErr w:type="gramStart"/>
      <w:r w:rsidRPr="00EA45BB">
        <w:t>By</w:t>
      </w:r>
      <w:proofErr w:type="gramEnd"/>
      <w:r w:rsidRPr="00EA45BB">
        <w:t xml:space="preserve"> 2030, end </w:t>
      </w:r>
      <w:r w:rsidR="00B921A0" w:rsidRPr="00EA45BB">
        <w:t>the epidemics of AIDS, tuberculosis, malaria and neglected tropical diseases and combat hepatitis, water-borne diseases and other communicable diseases</w:t>
      </w:r>
    </w:p>
    <w:p w:rsidR="00B921A0" w:rsidRPr="00EA45BB" w:rsidRDefault="00B921A0" w:rsidP="007F2BD4">
      <w:pPr>
        <w:spacing w:after="120"/>
        <w:ind w:left="0"/>
      </w:pPr>
      <w:r w:rsidRPr="00EA45BB">
        <w:t xml:space="preserve">Target 3.4 </w:t>
      </w:r>
      <w:proofErr w:type="gramStart"/>
      <w:r w:rsidRPr="00EA45BB">
        <w:t>By</w:t>
      </w:r>
      <w:proofErr w:type="gramEnd"/>
      <w:r w:rsidRPr="00EA45BB">
        <w:t xml:space="preserve"> 2030, reduce by one third premature mortality from non-communicable diseases through prevention and treatment and promote mental health and well-being</w:t>
      </w:r>
    </w:p>
    <w:p w:rsidR="00B921A0" w:rsidRPr="00EA45BB" w:rsidRDefault="00B921A0" w:rsidP="007F2BD4">
      <w:pPr>
        <w:spacing w:after="120"/>
        <w:ind w:left="0"/>
      </w:pPr>
      <w:r w:rsidRPr="00EA45BB">
        <w:t xml:space="preserve">Target </w:t>
      </w:r>
      <w:proofErr w:type="gramStart"/>
      <w:r w:rsidRPr="00EA45BB">
        <w:t>3.8</w:t>
      </w:r>
      <w:r w:rsidR="00BB03CB">
        <w:t xml:space="preserve"> </w:t>
      </w:r>
      <w:r w:rsidRPr="00EA45BB">
        <w:t>Achieve universal health coverage, including financial risk protection, access to quality essential health-care services and access to safe, effective, quality and affordable essential medicines and vaccines for all</w:t>
      </w:r>
      <w:proofErr w:type="gramEnd"/>
    </w:p>
    <w:p w:rsidR="00B921A0" w:rsidRPr="00EA45BB" w:rsidRDefault="00B921A0" w:rsidP="007F2BD4">
      <w:pPr>
        <w:spacing w:after="120"/>
        <w:ind w:left="0"/>
      </w:pPr>
      <w:r w:rsidRPr="00EA45BB">
        <w:t xml:space="preserve">Target 3.c Substantially increase health financing and the recruitment, development, training and retention of the health workforce in developing countries, especially in least developed countries and small island developing States </w:t>
      </w:r>
    </w:p>
    <w:p w:rsidR="00B921A0" w:rsidRPr="00EA45BB" w:rsidRDefault="00B921A0" w:rsidP="007F2BD4">
      <w:pPr>
        <w:spacing w:after="120"/>
        <w:ind w:left="0"/>
      </w:pPr>
      <w:r w:rsidRPr="00EA45BB">
        <w:t>Target 5.4 Recognize and value unpaid care and domestic work through the provision of public services, infrastructure and social protection policies and the promotion of shared responsibility within the household and the family as nationally appropriate</w:t>
      </w:r>
    </w:p>
    <w:p w:rsidR="000B7763" w:rsidRDefault="000B7763" w:rsidP="007F2BD4">
      <w:pPr>
        <w:spacing w:after="120"/>
        <w:ind w:left="0"/>
        <w:rPr>
          <w:b/>
        </w:rPr>
      </w:pPr>
    </w:p>
    <w:p w:rsidR="00B921A0" w:rsidRPr="00B921A0" w:rsidRDefault="00B921A0" w:rsidP="007F2BD4">
      <w:pPr>
        <w:spacing w:after="120"/>
        <w:ind w:left="0"/>
        <w:rPr>
          <w:b/>
        </w:rPr>
      </w:pPr>
      <w:proofErr w:type="spellStart"/>
      <w:r w:rsidRPr="00B921A0">
        <w:rPr>
          <w:b/>
        </w:rPr>
        <w:t>HelpAge’s</w:t>
      </w:r>
      <w:proofErr w:type="spellEnd"/>
      <w:r w:rsidRPr="00B921A0">
        <w:rPr>
          <w:b/>
        </w:rPr>
        <w:t xml:space="preserve"> position</w:t>
      </w:r>
    </w:p>
    <w:p w:rsidR="00B921A0" w:rsidRDefault="00B921A0" w:rsidP="007F2BD4">
      <w:pPr>
        <w:pStyle w:val="ListParagraph"/>
        <w:numPr>
          <w:ilvl w:val="0"/>
          <w:numId w:val="2"/>
        </w:numPr>
        <w:spacing w:after="120"/>
        <w:ind w:left="357" w:hanging="357"/>
        <w:rPr>
          <w:b/>
        </w:rPr>
      </w:pPr>
      <w:r w:rsidRPr="008318DA">
        <w:rPr>
          <w:b/>
        </w:rPr>
        <w:t>We welcome the inclusion of a specific goal of ensuring healthy lives and well-being for all at all a</w:t>
      </w:r>
      <w:r w:rsidR="000B7763" w:rsidRPr="008318DA">
        <w:rPr>
          <w:b/>
        </w:rPr>
        <w:t>ges.</w:t>
      </w:r>
    </w:p>
    <w:p w:rsidR="001C0057" w:rsidRPr="008318DA" w:rsidRDefault="001C0057" w:rsidP="007F2BD4">
      <w:pPr>
        <w:pStyle w:val="ListParagraph"/>
        <w:spacing w:after="120"/>
        <w:ind w:left="357"/>
        <w:rPr>
          <w:b/>
        </w:rPr>
      </w:pPr>
    </w:p>
    <w:p w:rsidR="00B921A0" w:rsidRDefault="00B921A0" w:rsidP="007F2BD4">
      <w:pPr>
        <w:pStyle w:val="ListParagraph"/>
        <w:numPr>
          <w:ilvl w:val="0"/>
          <w:numId w:val="2"/>
        </w:numPr>
        <w:spacing w:after="120"/>
        <w:ind w:left="357" w:hanging="357"/>
        <w:rPr>
          <w:b/>
        </w:rPr>
      </w:pPr>
      <w:r w:rsidRPr="008318DA">
        <w:rPr>
          <w:b/>
        </w:rPr>
        <w:t>We strongly support the ambition to achieve universal health coverage (UHC)</w:t>
      </w:r>
      <w:r w:rsidR="008227E3">
        <w:rPr>
          <w:b/>
        </w:rPr>
        <w:t>, access to quality health-care services</w:t>
      </w:r>
      <w:r w:rsidRPr="008318DA">
        <w:rPr>
          <w:b/>
        </w:rPr>
        <w:t xml:space="preserve"> and access to safe, effective, quality and affordab</w:t>
      </w:r>
      <w:r w:rsidR="000B7763" w:rsidRPr="008318DA">
        <w:rPr>
          <w:b/>
        </w:rPr>
        <w:t>le essential medicines for all.</w:t>
      </w:r>
    </w:p>
    <w:p w:rsidR="001C0057" w:rsidRPr="001C0057" w:rsidRDefault="001C0057" w:rsidP="007F2BD4">
      <w:pPr>
        <w:spacing w:after="120"/>
        <w:ind w:left="0"/>
        <w:rPr>
          <w:b/>
        </w:rPr>
      </w:pPr>
    </w:p>
    <w:p w:rsidR="00B921A0" w:rsidRDefault="00B921A0" w:rsidP="007F2BD4">
      <w:pPr>
        <w:pStyle w:val="ListParagraph"/>
        <w:numPr>
          <w:ilvl w:val="0"/>
          <w:numId w:val="2"/>
        </w:numPr>
        <w:spacing w:after="120"/>
        <w:ind w:left="357" w:hanging="357"/>
        <w:rPr>
          <w:b/>
        </w:rPr>
      </w:pPr>
      <w:r w:rsidRPr="008318DA">
        <w:rPr>
          <w:b/>
        </w:rPr>
        <w:t>Indicators to monitor UHC must track both access and financial risk protection elements and be in</w:t>
      </w:r>
      <w:r w:rsidR="000B7763" w:rsidRPr="008318DA">
        <w:rPr>
          <w:b/>
        </w:rPr>
        <w:t xml:space="preserve">clusive of people of all ages. </w:t>
      </w:r>
    </w:p>
    <w:p w:rsidR="001C0057" w:rsidRPr="008318DA" w:rsidRDefault="001C0057" w:rsidP="007F2BD4">
      <w:pPr>
        <w:pStyle w:val="ListParagraph"/>
        <w:spacing w:after="120"/>
        <w:ind w:left="357"/>
        <w:rPr>
          <w:b/>
        </w:rPr>
      </w:pPr>
    </w:p>
    <w:p w:rsidR="00CA7EBB" w:rsidRDefault="00B921A0" w:rsidP="007F2BD4">
      <w:pPr>
        <w:pStyle w:val="ListParagraph"/>
        <w:numPr>
          <w:ilvl w:val="0"/>
          <w:numId w:val="2"/>
        </w:numPr>
        <w:spacing w:after="120"/>
        <w:ind w:left="357" w:hanging="357"/>
        <w:rPr>
          <w:b/>
        </w:rPr>
      </w:pPr>
      <w:r w:rsidRPr="008318DA">
        <w:rPr>
          <w:b/>
        </w:rPr>
        <w:t>The concept of ‘premature mortality’ (dying before the age of 70), infringes older people’s rights. We will continue to campaign against this discriminatory target, emphasising that the indicator linked to this target has had the upper age limit of 70 remo</w:t>
      </w:r>
      <w:r w:rsidR="000B7763" w:rsidRPr="008318DA">
        <w:rPr>
          <w:b/>
        </w:rPr>
        <w:t>ved.</w:t>
      </w:r>
    </w:p>
    <w:p w:rsidR="00CA7EBB" w:rsidRPr="00CA7EBB" w:rsidRDefault="00CA7EBB" w:rsidP="007F2BD4">
      <w:pPr>
        <w:pStyle w:val="ListParagraph"/>
        <w:spacing w:after="120"/>
        <w:ind w:left="357"/>
        <w:rPr>
          <w:b/>
        </w:rPr>
      </w:pPr>
    </w:p>
    <w:p w:rsidR="00B921A0" w:rsidRDefault="00B921A0" w:rsidP="007F2BD4">
      <w:pPr>
        <w:pStyle w:val="ListParagraph"/>
        <w:numPr>
          <w:ilvl w:val="0"/>
          <w:numId w:val="2"/>
        </w:numPr>
        <w:spacing w:after="120"/>
        <w:ind w:left="357" w:hanging="357"/>
        <w:rPr>
          <w:b/>
        </w:rPr>
      </w:pPr>
      <w:r w:rsidRPr="008318DA">
        <w:rPr>
          <w:b/>
        </w:rPr>
        <w:t xml:space="preserve">We welcome the inclusion of older people in the target </w:t>
      </w:r>
      <w:r w:rsidR="00402E64">
        <w:rPr>
          <w:b/>
        </w:rPr>
        <w:t>to end</w:t>
      </w:r>
      <w:r w:rsidRPr="008318DA">
        <w:rPr>
          <w:b/>
        </w:rPr>
        <w:t xml:space="preserve"> malnutrition. Indicators must include older people as well as girls and younger women.</w:t>
      </w:r>
    </w:p>
    <w:p w:rsidR="00CA7EBB" w:rsidRPr="000F5105" w:rsidRDefault="00CA7EBB" w:rsidP="007F2BD4">
      <w:pPr>
        <w:pStyle w:val="ListParagraph"/>
        <w:spacing w:after="120"/>
        <w:ind w:left="357"/>
        <w:rPr>
          <w:b/>
        </w:rPr>
      </w:pPr>
    </w:p>
    <w:p w:rsidR="00B921A0" w:rsidRPr="008318DA" w:rsidRDefault="00B921A0" w:rsidP="007F2BD4">
      <w:pPr>
        <w:pStyle w:val="ListParagraph"/>
        <w:numPr>
          <w:ilvl w:val="0"/>
          <w:numId w:val="2"/>
        </w:numPr>
        <w:spacing w:after="120"/>
        <w:ind w:left="357" w:hanging="357"/>
        <w:rPr>
          <w:b/>
        </w:rPr>
      </w:pPr>
      <w:r w:rsidRPr="008318DA">
        <w:rPr>
          <w:b/>
        </w:rPr>
        <w:t>Responsibility for older people’s care must be shared between families, professional providers and governments, with the latter prioritising development of systems of care.</w:t>
      </w:r>
    </w:p>
    <w:p w:rsidR="00B921A0" w:rsidRPr="000B7763" w:rsidRDefault="00B921A0" w:rsidP="007F2BD4">
      <w:pPr>
        <w:spacing w:after="120"/>
        <w:ind w:left="0"/>
      </w:pPr>
      <w:r w:rsidRPr="000B7763">
        <w:t xml:space="preserve">We welcome the much broader approach to health in the SDGs than the MDGs, and in particular the inclusion of a specific goal (SDG 3) focussed on health, to ensure healthy lives and promote well-being for all at all ages. The wide range of targets addressing the spectrum of diseases and the systems and infrastructure needed to ensure health and wellbeing also mark a step forward. While we strongly support the inclusion of a target on NCDs, its focus on reducing “premature mortality”, (dying before the age of 70), poses a challenge for the inclusion of older people. Older people are also affected by communicable diseases, including HIV. Target 3.3 is inclusive of people of all ages, but the single SDG indicator for HIV </w:t>
      </w:r>
      <w:proofErr w:type="spellStart"/>
      <w:r w:rsidRPr="000B7763">
        <w:t>focusses</w:t>
      </w:r>
      <w:proofErr w:type="spellEnd"/>
      <w:r w:rsidRPr="000B7763">
        <w:t xml:space="preserve"> on new infections, risking the exclusion of treatment, care and support, all crucial services for older people who have been living with HIV and taking ART for many years. </w:t>
      </w:r>
    </w:p>
    <w:p w:rsidR="00B921A0" w:rsidRPr="000B7763" w:rsidRDefault="00B921A0" w:rsidP="007F2BD4">
      <w:pPr>
        <w:spacing w:after="120"/>
        <w:ind w:left="0"/>
      </w:pPr>
      <w:r w:rsidRPr="000B7763">
        <w:t xml:space="preserve">The focus on Universal Health Coverage (UHC) in the SDGs provides an opportunity to address a range of barriers to accessing health and care services faced by older people.  However, UHC will not be achieved for older people if efforts are guided by the target’s two indicators. The first tracks access to services including treatment for hypertension and diabetes, two key health concerns for older people. But the surveys to capture this information are only conducted with people up to age 49 or 64 and would not track whether coverage is universal. The second indicator looks at the number of people covered </w:t>
      </w:r>
      <w:r w:rsidRPr="000B7763">
        <w:lastRenderedPageBreak/>
        <w:t xml:space="preserve">by health insurance or a public health system. It does not measure out-of-pocket payments or catastrophic expenses and could result in older people being left behind. </w:t>
      </w:r>
    </w:p>
    <w:p w:rsidR="00B921A0" w:rsidRPr="000B7763" w:rsidRDefault="00B921A0" w:rsidP="007F2BD4">
      <w:pPr>
        <w:spacing w:after="120"/>
        <w:ind w:left="0"/>
      </w:pPr>
      <w:r w:rsidRPr="000B7763">
        <w:t xml:space="preserve">Health and care systems in LMICs are failing to adequately meet the increasingly complex health and social care needs of people as they age. The target on the recruitment, development, training and retention of the health workforce offers an opportunity to address this, but training on older people’s health would be one of a number of competing priorities and the indicator for this target will not track health worker training. In many LMICs, care systems do not yet exist and care for older people is provided by other older people (particularly older women), families and communities. Target 5.4 on recognising and valuing unpaid care, including through social protection policies, should support greater recognition of the role of older people in the provision of care. The target includes the promotion of shared responsibility within the family and household but not with governments. This risks </w:t>
      </w:r>
      <w:r w:rsidR="004C7E29">
        <w:t>care responsibilities continuing</w:t>
      </w:r>
      <w:r w:rsidRPr="000B7763">
        <w:t xml:space="preserve"> to fall on families and communities, rather than emphasising that governments should also prioritise the development of care systems. </w:t>
      </w:r>
    </w:p>
    <w:p w:rsidR="004E6516" w:rsidRDefault="004E6516" w:rsidP="007F2BD4">
      <w:pPr>
        <w:spacing w:after="120"/>
        <w:rPr>
          <w:b/>
        </w:rPr>
      </w:pPr>
      <w:r>
        <w:rPr>
          <w:b/>
        </w:rPr>
        <w:br w:type="page"/>
      </w:r>
    </w:p>
    <w:p w:rsidR="0044753E" w:rsidRDefault="00B4321A" w:rsidP="007F2BD4">
      <w:pPr>
        <w:spacing w:after="120"/>
        <w:ind w:left="0"/>
        <w:rPr>
          <w:b/>
        </w:rPr>
      </w:pPr>
      <w:r w:rsidRPr="00307532">
        <w:rPr>
          <w:b/>
        </w:rPr>
        <w:lastRenderedPageBreak/>
        <w:t xml:space="preserve">HelpAge </w:t>
      </w:r>
      <w:r w:rsidR="008C2C2F">
        <w:rPr>
          <w:b/>
        </w:rPr>
        <w:t>Goal</w:t>
      </w:r>
      <w:r w:rsidR="007F2BD4">
        <w:rPr>
          <w:b/>
        </w:rPr>
        <w:t xml:space="preserve"> </w:t>
      </w:r>
      <w:r w:rsidR="001A12F7">
        <w:rPr>
          <w:b/>
        </w:rPr>
        <w:t>3</w:t>
      </w:r>
      <w:r w:rsidR="00525720" w:rsidRPr="00307532">
        <w:rPr>
          <w:b/>
        </w:rPr>
        <w:t xml:space="preserve"> -</w:t>
      </w:r>
      <w:r w:rsidRPr="00307532">
        <w:rPr>
          <w:b/>
        </w:rPr>
        <w:t xml:space="preserve"> I am safe and secure, free from all forms of discr</w:t>
      </w:r>
      <w:r w:rsidR="00C90195">
        <w:rPr>
          <w:b/>
        </w:rPr>
        <w:t>imination, violence and abuse</w:t>
      </w:r>
    </w:p>
    <w:p w:rsidR="00C90195" w:rsidRPr="00307532" w:rsidRDefault="00C90195" w:rsidP="007F2BD4">
      <w:pPr>
        <w:spacing w:after="120"/>
        <w:ind w:left="0"/>
        <w:rPr>
          <w:b/>
        </w:rPr>
      </w:pPr>
      <w:r>
        <w:rPr>
          <w:b/>
        </w:rPr>
        <w:t>What the SDGs say</w:t>
      </w:r>
    </w:p>
    <w:p w:rsidR="00A67500" w:rsidRPr="00AB6D89" w:rsidRDefault="00B4321A" w:rsidP="007F2BD4">
      <w:pPr>
        <w:spacing w:after="120"/>
        <w:ind w:left="0"/>
      </w:pPr>
      <w:r w:rsidRPr="00AB6D89">
        <w:t>Freedom from discrimination is addressed in a number of the SDGs</w:t>
      </w:r>
      <w:r w:rsidR="00A67500" w:rsidRPr="00AB6D89">
        <w:t>:</w:t>
      </w:r>
    </w:p>
    <w:p w:rsidR="00C92BC0" w:rsidRDefault="00C92BC0" w:rsidP="007F2BD4">
      <w:pPr>
        <w:autoSpaceDE w:val="0"/>
        <w:autoSpaceDN w:val="0"/>
        <w:adjustRightInd w:val="0"/>
        <w:spacing w:after="120"/>
        <w:ind w:left="0"/>
      </w:pPr>
    </w:p>
    <w:p w:rsidR="00FA5941" w:rsidRDefault="00154261" w:rsidP="007F2BD4">
      <w:pPr>
        <w:autoSpaceDE w:val="0"/>
        <w:autoSpaceDN w:val="0"/>
        <w:adjustRightInd w:val="0"/>
        <w:spacing w:after="120"/>
        <w:ind w:left="0"/>
        <w:rPr>
          <w:rFonts w:cs="TimesNewRoman"/>
        </w:rPr>
      </w:pPr>
      <w:r w:rsidRPr="00AB6D89">
        <w:t>SDG</w:t>
      </w:r>
      <w:r w:rsidR="00B4321A" w:rsidRPr="00AB6D89">
        <w:t xml:space="preserve"> 5.1 </w:t>
      </w:r>
      <w:r w:rsidR="00FA5941" w:rsidRPr="00AB6D89">
        <w:rPr>
          <w:rFonts w:cs="TimesNewRoman"/>
        </w:rPr>
        <w:t>End all forms of discrimination against all women and girls everywhere</w:t>
      </w:r>
      <w:r w:rsidR="003D561D">
        <w:rPr>
          <w:rFonts w:cs="TimesNewRoman"/>
        </w:rPr>
        <w:t>.</w:t>
      </w:r>
    </w:p>
    <w:p w:rsidR="00C92BC0" w:rsidRPr="00AB6D89" w:rsidRDefault="00C92BC0" w:rsidP="007F2BD4">
      <w:pPr>
        <w:autoSpaceDE w:val="0"/>
        <w:autoSpaceDN w:val="0"/>
        <w:adjustRightInd w:val="0"/>
        <w:spacing w:after="120"/>
        <w:ind w:left="0"/>
        <w:rPr>
          <w:rFonts w:cs="TimesNewRoman"/>
        </w:rPr>
      </w:pPr>
    </w:p>
    <w:p w:rsidR="00FA5941" w:rsidRDefault="00FA5941" w:rsidP="007F2BD4">
      <w:pPr>
        <w:autoSpaceDE w:val="0"/>
        <w:autoSpaceDN w:val="0"/>
        <w:adjustRightInd w:val="0"/>
        <w:spacing w:after="120"/>
        <w:ind w:left="0"/>
      </w:pPr>
      <w:r w:rsidRPr="00AB6D89">
        <w:rPr>
          <w:rFonts w:cs="TimesNewRoman"/>
        </w:rPr>
        <w:t>5.2 Eliminate all forms of violence against all women and girls in the public and</w:t>
      </w:r>
      <w:r w:rsidR="00BA2B71">
        <w:rPr>
          <w:rFonts w:cs="TimesNewRoman"/>
        </w:rPr>
        <w:t xml:space="preserve"> </w:t>
      </w:r>
      <w:r w:rsidRPr="00AB6D89">
        <w:rPr>
          <w:rFonts w:cs="TimesNewRoman"/>
        </w:rPr>
        <w:t>private spheres, including trafficking and sexual and other types of exploitation</w:t>
      </w:r>
      <w:r w:rsidR="003D561D">
        <w:rPr>
          <w:rFonts w:cs="TimesNewRoman"/>
        </w:rPr>
        <w:t>.</w:t>
      </w:r>
    </w:p>
    <w:p w:rsidR="00C92BC0" w:rsidRPr="00AB6D89" w:rsidRDefault="00C92BC0" w:rsidP="007F2BD4">
      <w:pPr>
        <w:spacing w:after="120"/>
        <w:ind w:left="0"/>
      </w:pPr>
    </w:p>
    <w:p w:rsidR="00AB6D89" w:rsidRDefault="00C92BC0" w:rsidP="007F2BD4">
      <w:pPr>
        <w:autoSpaceDE w:val="0"/>
        <w:autoSpaceDN w:val="0"/>
        <w:adjustRightInd w:val="0"/>
        <w:spacing w:after="120"/>
        <w:ind w:left="0"/>
      </w:pPr>
      <w:r>
        <w:rPr>
          <w:rFonts w:cs="TimesNewRoman"/>
        </w:rPr>
        <w:t xml:space="preserve">10.3 </w:t>
      </w:r>
      <w:r w:rsidR="00FA5941" w:rsidRPr="00AB6D89">
        <w:rPr>
          <w:rFonts w:cs="TimesNewRoman"/>
        </w:rPr>
        <w:t>Ensure equal opportunity and reduce inequalities of outcome, including by</w:t>
      </w:r>
      <w:r w:rsidR="00BA2B71">
        <w:rPr>
          <w:rFonts w:cs="TimesNewRoman"/>
        </w:rPr>
        <w:t xml:space="preserve"> </w:t>
      </w:r>
      <w:r w:rsidR="00FA5941" w:rsidRPr="00AB6D89">
        <w:rPr>
          <w:rFonts w:cs="TimesNewRoman"/>
        </w:rPr>
        <w:t>eliminating discriminatory laws, policies and practices and promoting appropriate</w:t>
      </w:r>
      <w:r w:rsidR="00BA2B71">
        <w:rPr>
          <w:rFonts w:cs="TimesNewRoman"/>
        </w:rPr>
        <w:t xml:space="preserve"> </w:t>
      </w:r>
      <w:r w:rsidR="00FA5941" w:rsidRPr="00AB6D89">
        <w:rPr>
          <w:rFonts w:cs="TimesNewRoman"/>
        </w:rPr>
        <w:t xml:space="preserve">legislation, policies </w:t>
      </w:r>
      <w:r w:rsidR="003D561D">
        <w:rPr>
          <w:rFonts w:cs="TimesNewRoman"/>
        </w:rPr>
        <w:t>a</w:t>
      </w:r>
      <w:r w:rsidR="00FA5941" w:rsidRPr="00AB6D89">
        <w:rPr>
          <w:rFonts w:cs="TimesNewRoman"/>
        </w:rPr>
        <w:t>nd action in this regard</w:t>
      </w:r>
      <w:r w:rsidR="003D561D">
        <w:t>.</w:t>
      </w:r>
    </w:p>
    <w:p w:rsidR="00C92BC0" w:rsidRPr="00AB6D89" w:rsidRDefault="00C92BC0" w:rsidP="007F2BD4">
      <w:pPr>
        <w:spacing w:after="120"/>
        <w:ind w:left="0"/>
      </w:pPr>
    </w:p>
    <w:p w:rsidR="00AB6D89" w:rsidRPr="00AB6D89" w:rsidRDefault="007D5973" w:rsidP="007F2BD4">
      <w:pPr>
        <w:spacing w:after="120"/>
        <w:ind w:left="0"/>
      </w:pPr>
      <w:r w:rsidRPr="00AB6D89">
        <w:t>SDG</w:t>
      </w:r>
      <w:r w:rsidR="00806A61" w:rsidRPr="00AB6D89">
        <w:t xml:space="preserve"> 16.1 </w:t>
      </w:r>
      <w:r w:rsidR="00AB6D89" w:rsidRPr="00AB6D89">
        <w:rPr>
          <w:rFonts w:cs="TimesNewRoman"/>
        </w:rPr>
        <w:t xml:space="preserve">Significantly </w:t>
      </w:r>
      <w:proofErr w:type="gramStart"/>
      <w:r w:rsidR="00AB6D89" w:rsidRPr="00AB6D89">
        <w:rPr>
          <w:rFonts w:cs="TimesNewRoman"/>
        </w:rPr>
        <w:t>reduce</w:t>
      </w:r>
      <w:proofErr w:type="gramEnd"/>
      <w:r w:rsidR="00AB6D89" w:rsidRPr="00AB6D89">
        <w:rPr>
          <w:rFonts w:cs="TimesNewRoman"/>
        </w:rPr>
        <w:t xml:space="preserve"> all forms of violence and related death rates everywhere</w:t>
      </w:r>
      <w:r w:rsidR="003D561D">
        <w:rPr>
          <w:rFonts w:cs="TimesNewRoman"/>
        </w:rPr>
        <w:t>.</w:t>
      </w:r>
    </w:p>
    <w:p w:rsidR="00AB6D89" w:rsidRPr="00AB6D89" w:rsidRDefault="00AB6D89" w:rsidP="007F2BD4">
      <w:pPr>
        <w:spacing w:after="120"/>
        <w:ind w:left="0"/>
        <w:rPr>
          <w:b/>
        </w:rPr>
      </w:pPr>
    </w:p>
    <w:p w:rsidR="00C92BC0" w:rsidRDefault="00846C66" w:rsidP="007F2BD4">
      <w:pPr>
        <w:spacing w:after="120"/>
        <w:ind w:left="0"/>
        <w:rPr>
          <w:b/>
        </w:rPr>
      </w:pPr>
      <w:proofErr w:type="spellStart"/>
      <w:r w:rsidRPr="00AB6D89">
        <w:rPr>
          <w:b/>
        </w:rPr>
        <w:t>HelpAge</w:t>
      </w:r>
      <w:r w:rsidR="00C90195" w:rsidRPr="00AB6D89">
        <w:rPr>
          <w:b/>
        </w:rPr>
        <w:t>’s</w:t>
      </w:r>
      <w:proofErr w:type="spellEnd"/>
      <w:r w:rsidR="00AB6D89">
        <w:rPr>
          <w:b/>
        </w:rPr>
        <w:t xml:space="preserve"> position</w:t>
      </w:r>
    </w:p>
    <w:p w:rsidR="00C92BC0" w:rsidRDefault="00C92BC0" w:rsidP="007F2BD4">
      <w:pPr>
        <w:spacing w:after="120"/>
        <w:ind w:left="0"/>
        <w:rPr>
          <w:b/>
        </w:rPr>
      </w:pPr>
    </w:p>
    <w:p w:rsidR="00C92BC0" w:rsidRDefault="00D210BC" w:rsidP="007F2BD4">
      <w:pPr>
        <w:pStyle w:val="ListParagraph"/>
        <w:numPr>
          <w:ilvl w:val="0"/>
          <w:numId w:val="13"/>
        </w:numPr>
        <w:spacing w:after="120"/>
        <w:ind w:left="0"/>
        <w:rPr>
          <w:rFonts w:eastAsiaTheme="majorEastAsia" w:cstheme="majorBidi"/>
          <w:b/>
          <w:bCs/>
        </w:rPr>
      </w:pPr>
      <w:r w:rsidRPr="003D561D">
        <w:rPr>
          <w:rFonts w:eastAsiaTheme="majorEastAsia" w:cstheme="majorBidi"/>
          <w:b/>
          <w:bCs/>
        </w:rPr>
        <w:t>I</w:t>
      </w:r>
      <w:r w:rsidR="00AB71B2" w:rsidRPr="003D561D">
        <w:rPr>
          <w:rFonts w:eastAsiaTheme="majorEastAsia" w:cstheme="majorBidi"/>
          <w:b/>
          <w:bCs/>
        </w:rPr>
        <w:t xml:space="preserve">mplementation of the SDGs must </w:t>
      </w:r>
      <w:r w:rsidRPr="003D561D">
        <w:rPr>
          <w:rFonts w:eastAsiaTheme="majorEastAsia" w:cstheme="majorBidi"/>
          <w:b/>
          <w:bCs/>
        </w:rPr>
        <w:t xml:space="preserve">recognise different forms of </w:t>
      </w:r>
      <w:r w:rsidR="0036778A" w:rsidRPr="003D561D">
        <w:rPr>
          <w:rFonts w:eastAsiaTheme="majorEastAsia" w:cstheme="majorBidi"/>
          <w:b/>
          <w:bCs/>
        </w:rPr>
        <w:t xml:space="preserve">violence and </w:t>
      </w:r>
      <w:r w:rsidRPr="003D561D">
        <w:rPr>
          <w:rFonts w:eastAsiaTheme="majorEastAsia" w:cstheme="majorBidi"/>
          <w:b/>
          <w:bCs/>
        </w:rPr>
        <w:t>abuse, from financial and economic to sexual and physical, or neglect</w:t>
      </w:r>
      <w:r w:rsidR="00AB71B2" w:rsidRPr="003D561D">
        <w:rPr>
          <w:rFonts w:eastAsiaTheme="majorEastAsia" w:cstheme="majorBidi"/>
          <w:b/>
          <w:bCs/>
        </w:rPr>
        <w:t>, a range of perpetrators (including family members) and the victimisation of both older women and men.</w:t>
      </w:r>
    </w:p>
    <w:p w:rsidR="003D561D" w:rsidRPr="003D561D" w:rsidRDefault="003D561D" w:rsidP="007F2BD4">
      <w:pPr>
        <w:pStyle w:val="ListParagraph"/>
        <w:spacing w:after="120"/>
        <w:ind w:left="0"/>
        <w:rPr>
          <w:rFonts w:eastAsiaTheme="majorEastAsia" w:cstheme="majorBidi"/>
          <w:b/>
          <w:bCs/>
        </w:rPr>
      </w:pPr>
    </w:p>
    <w:p w:rsidR="008004E2" w:rsidRPr="003D561D" w:rsidRDefault="00BB66C0" w:rsidP="007F2BD4">
      <w:pPr>
        <w:pStyle w:val="ListParagraph"/>
        <w:numPr>
          <w:ilvl w:val="0"/>
          <w:numId w:val="13"/>
        </w:numPr>
        <w:spacing w:after="120"/>
        <w:ind w:left="0"/>
        <w:rPr>
          <w:rFonts w:eastAsiaTheme="majorEastAsia" w:cstheme="majorBidi"/>
          <w:b/>
          <w:bCs/>
        </w:rPr>
      </w:pPr>
      <w:r w:rsidRPr="003D561D">
        <w:rPr>
          <w:rFonts w:eastAsiaTheme="majorEastAsia" w:cstheme="majorBidi"/>
          <w:b/>
          <w:bCs/>
        </w:rPr>
        <w:t xml:space="preserve">Violence against women </w:t>
      </w:r>
      <w:r w:rsidR="00A25E3F" w:rsidRPr="003D561D">
        <w:rPr>
          <w:rFonts w:eastAsiaTheme="majorEastAsia" w:cstheme="majorBidi"/>
          <w:b/>
          <w:bCs/>
        </w:rPr>
        <w:t xml:space="preserve">must </w:t>
      </w:r>
      <w:r w:rsidRPr="003D561D">
        <w:rPr>
          <w:rFonts w:eastAsiaTheme="majorEastAsia" w:cstheme="majorBidi"/>
          <w:b/>
          <w:bCs/>
        </w:rPr>
        <w:t xml:space="preserve">be addressed </w:t>
      </w:r>
      <w:r w:rsidR="005669CE" w:rsidRPr="003D561D">
        <w:rPr>
          <w:rFonts w:eastAsiaTheme="majorEastAsia" w:cstheme="majorBidi"/>
          <w:b/>
          <w:bCs/>
        </w:rPr>
        <w:t xml:space="preserve">for all women </w:t>
      </w:r>
      <w:r w:rsidR="00BE4F4D" w:rsidRPr="003D561D">
        <w:rPr>
          <w:rFonts w:eastAsiaTheme="majorEastAsia" w:cstheme="majorBidi"/>
          <w:b/>
          <w:bCs/>
        </w:rPr>
        <w:t>throughout their lives</w:t>
      </w:r>
      <w:r w:rsidR="00813E7D" w:rsidRPr="003D561D">
        <w:rPr>
          <w:rFonts w:eastAsiaTheme="majorEastAsia" w:cstheme="majorBidi"/>
          <w:b/>
          <w:bCs/>
        </w:rPr>
        <w:t>.</w:t>
      </w:r>
    </w:p>
    <w:p w:rsidR="00BB66C0" w:rsidRDefault="00BE4F4D" w:rsidP="007F2BD4">
      <w:pPr>
        <w:keepNext/>
        <w:keepLines/>
        <w:numPr>
          <w:ilvl w:val="0"/>
          <w:numId w:val="4"/>
        </w:numPr>
        <w:spacing w:after="120"/>
        <w:ind w:left="357" w:hanging="357"/>
        <w:outlineLvl w:val="2"/>
        <w:rPr>
          <w:rFonts w:eastAsiaTheme="majorEastAsia" w:cstheme="majorBidi"/>
          <w:b/>
          <w:bCs/>
        </w:rPr>
      </w:pPr>
      <w:r>
        <w:rPr>
          <w:rFonts w:eastAsiaTheme="majorEastAsia" w:cstheme="majorBidi"/>
          <w:b/>
          <w:bCs/>
        </w:rPr>
        <w:lastRenderedPageBreak/>
        <w:t>L</w:t>
      </w:r>
      <w:r w:rsidR="00BB66C0" w:rsidRPr="00BB66C0">
        <w:rPr>
          <w:rFonts w:eastAsiaTheme="majorEastAsia" w:cstheme="majorBidi"/>
          <w:b/>
          <w:bCs/>
        </w:rPr>
        <w:t>aws, policies or practices that discriminate on the basis of age (such as mandatory retirement ages or upper age limits to healthcare treatment)</w:t>
      </w:r>
      <w:r>
        <w:rPr>
          <w:rFonts w:eastAsiaTheme="majorEastAsia" w:cstheme="majorBidi"/>
          <w:b/>
          <w:bCs/>
        </w:rPr>
        <w:t xml:space="preserve"> must be abolished</w:t>
      </w:r>
      <w:r w:rsidR="00813E7D">
        <w:rPr>
          <w:rFonts w:eastAsiaTheme="majorEastAsia" w:cstheme="majorBidi"/>
          <w:b/>
          <w:bCs/>
        </w:rPr>
        <w:t>.</w:t>
      </w:r>
    </w:p>
    <w:p w:rsidR="008004E2" w:rsidRPr="00BB66C0" w:rsidRDefault="008004E2" w:rsidP="007F2BD4">
      <w:pPr>
        <w:keepNext/>
        <w:keepLines/>
        <w:spacing w:after="120"/>
        <w:ind w:left="0"/>
        <w:outlineLvl w:val="2"/>
        <w:rPr>
          <w:rFonts w:eastAsiaTheme="majorEastAsia" w:cstheme="majorBidi"/>
          <w:b/>
          <w:bCs/>
        </w:rPr>
      </w:pPr>
    </w:p>
    <w:p w:rsidR="00A059BC" w:rsidRPr="008004E2" w:rsidRDefault="00A059BC" w:rsidP="007F2BD4">
      <w:pPr>
        <w:pStyle w:val="ListParagraph"/>
        <w:numPr>
          <w:ilvl w:val="0"/>
          <w:numId w:val="4"/>
        </w:numPr>
        <w:spacing w:after="120"/>
        <w:ind w:left="357" w:hanging="357"/>
      </w:pPr>
      <w:r w:rsidRPr="00A059BC">
        <w:rPr>
          <w:rFonts w:eastAsiaTheme="majorEastAsia" w:cstheme="majorBidi"/>
          <w:b/>
          <w:bCs/>
        </w:rPr>
        <w:t>Data collection, prevention and support services, and justice system</w:t>
      </w:r>
      <w:r w:rsidR="002B056D">
        <w:rPr>
          <w:rFonts w:eastAsiaTheme="majorEastAsia" w:cstheme="majorBidi"/>
          <w:b/>
          <w:bCs/>
        </w:rPr>
        <w:t>s</w:t>
      </w:r>
      <w:r w:rsidR="00BA2B71">
        <w:rPr>
          <w:rFonts w:eastAsiaTheme="majorEastAsia" w:cstheme="majorBidi"/>
          <w:b/>
          <w:bCs/>
        </w:rPr>
        <w:t xml:space="preserve"> </w:t>
      </w:r>
      <w:r w:rsidR="005C10E2">
        <w:rPr>
          <w:rFonts w:eastAsiaTheme="majorEastAsia" w:cstheme="majorBidi"/>
          <w:b/>
          <w:bCs/>
        </w:rPr>
        <w:t xml:space="preserve">must </w:t>
      </w:r>
      <w:r w:rsidRPr="00A059BC">
        <w:rPr>
          <w:rFonts w:eastAsiaTheme="majorEastAsia" w:cstheme="majorBidi"/>
          <w:b/>
          <w:bCs/>
        </w:rPr>
        <w:t xml:space="preserve">address all forms of violence </w:t>
      </w:r>
      <w:r w:rsidR="005C10E2">
        <w:rPr>
          <w:rFonts w:eastAsiaTheme="majorEastAsia" w:cstheme="majorBidi"/>
          <w:b/>
          <w:bCs/>
        </w:rPr>
        <w:t xml:space="preserve">which </w:t>
      </w:r>
      <w:proofErr w:type="gramStart"/>
      <w:r w:rsidR="005C10E2">
        <w:rPr>
          <w:rFonts w:eastAsiaTheme="majorEastAsia" w:cstheme="majorBidi"/>
          <w:b/>
          <w:bCs/>
        </w:rPr>
        <w:t xml:space="preserve">targets </w:t>
      </w:r>
      <w:r w:rsidRPr="00A059BC">
        <w:rPr>
          <w:rFonts w:eastAsiaTheme="majorEastAsia" w:cstheme="majorBidi"/>
          <w:b/>
          <w:bCs/>
        </w:rPr>
        <w:t xml:space="preserve"> older</w:t>
      </w:r>
      <w:proofErr w:type="gramEnd"/>
      <w:r w:rsidRPr="00A059BC">
        <w:rPr>
          <w:rFonts w:eastAsiaTheme="majorEastAsia" w:cstheme="majorBidi"/>
          <w:b/>
          <w:bCs/>
        </w:rPr>
        <w:t xml:space="preserve"> people</w:t>
      </w:r>
      <w:r w:rsidR="005C10E2">
        <w:rPr>
          <w:rFonts w:eastAsiaTheme="majorEastAsia" w:cstheme="majorBidi"/>
          <w:b/>
          <w:bCs/>
        </w:rPr>
        <w:t>.</w:t>
      </w:r>
    </w:p>
    <w:p w:rsidR="008004E2" w:rsidRPr="00A059BC" w:rsidRDefault="008004E2" w:rsidP="007F2BD4">
      <w:pPr>
        <w:spacing w:after="120"/>
        <w:ind w:left="0"/>
      </w:pPr>
    </w:p>
    <w:p w:rsidR="00346A32" w:rsidRDefault="00441DDA" w:rsidP="007F2BD4">
      <w:pPr>
        <w:spacing w:after="120"/>
        <w:ind w:left="0"/>
      </w:pPr>
      <w:r>
        <w:t xml:space="preserve">Steps taken to achieve the SDGs on inequalities could contribute to </w:t>
      </w:r>
      <w:proofErr w:type="spellStart"/>
      <w:r>
        <w:t>HelpAge’s</w:t>
      </w:r>
      <w:proofErr w:type="spellEnd"/>
      <w:r>
        <w:t xml:space="preserve"> goal that all older people are free from discrimination, if the complex nature of discrimination in older age is recognised and taken seriously.  This is a major task, since a</w:t>
      </w:r>
      <w:r w:rsidR="0032042B">
        <w:t>geism</w:t>
      </w:r>
      <w:r>
        <w:rPr>
          <w:rStyle w:val="FootnoteReference"/>
        </w:rPr>
        <w:footnoteReference w:id="2"/>
      </w:r>
      <w:r w:rsidR="0032042B">
        <w:t xml:space="preserve"> continues to be </w:t>
      </w:r>
      <w:r w:rsidR="00346A32" w:rsidRPr="00B360E1">
        <w:t xml:space="preserve">unrecognised, ignored </w:t>
      </w:r>
      <w:r w:rsidR="00FB0DBC">
        <w:t>or</w:t>
      </w:r>
      <w:r w:rsidR="00346A32" w:rsidRPr="00B360E1">
        <w:t xml:space="preserve"> condoned, an</w:t>
      </w:r>
      <w:r w:rsidR="001F0DA4">
        <w:t xml:space="preserve">d </w:t>
      </w:r>
      <w:r w:rsidR="00FB0DBC">
        <w:t>often treated differently from</w:t>
      </w:r>
      <w:r w:rsidR="00346A32" w:rsidRPr="00B360E1">
        <w:t xml:space="preserve"> other forms of discrimination. </w:t>
      </w:r>
      <w:r w:rsidR="0036778A">
        <w:t>A</w:t>
      </w:r>
      <w:r w:rsidR="001F0DA4">
        <w:t xml:space="preserve">ge discrimination </w:t>
      </w:r>
      <w:r w:rsidR="00346A32" w:rsidRPr="00B360E1">
        <w:t xml:space="preserve">can be complex. Older people may be </w:t>
      </w:r>
      <w:r w:rsidR="0032042B">
        <w:t>discriminated against</w:t>
      </w:r>
      <w:r w:rsidR="003605AE">
        <w:t xml:space="preserve"> for different reasons, for example</w:t>
      </w:r>
      <w:r w:rsidR="0032042B">
        <w:t xml:space="preserve"> because of</w:t>
      </w:r>
      <w:r w:rsidR="00346A32" w:rsidRPr="00B360E1">
        <w:t xml:space="preserve"> their age, their sex, their marital status</w:t>
      </w:r>
      <w:r w:rsidR="00546CE1">
        <w:t xml:space="preserve">. They may also be </w:t>
      </w:r>
      <w:r w:rsidR="00692C64">
        <w:t xml:space="preserve">uniquely </w:t>
      </w:r>
      <w:r w:rsidR="00546CE1">
        <w:t>subjected to</w:t>
      </w:r>
      <w:r w:rsidR="00BA2B71">
        <w:t xml:space="preserve"> </w:t>
      </w:r>
      <w:r w:rsidR="00C7116B">
        <w:t>multiple</w:t>
      </w:r>
      <w:r w:rsidR="00BA2B71">
        <w:t xml:space="preserve"> </w:t>
      </w:r>
      <w:r w:rsidR="00C7116B">
        <w:t>discrimination</w:t>
      </w:r>
      <w:r w:rsidR="00797088">
        <w:t>;</w:t>
      </w:r>
      <w:r w:rsidR="008004E2">
        <w:t xml:space="preserve"> o</w:t>
      </w:r>
      <w:r w:rsidR="007C314B">
        <w:t>lder widows</w:t>
      </w:r>
      <w:r w:rsidR="00346A32" w:rsidRPr="00B360E1">
        <w:t xml:space="preserve"> for example, may experience discrimination based on their sex, age and marital status.  </w:t>
      </w:r>
    </w:p>
    <w:p w:rsidR="00FB0DBC" w:rsidRDefault="00FB0DBC" w:rsidP="007F2BD4">
      <w:pPr>
        <w:spacing w:after="120"/>
        <w:ind w:left="0"/>
      </w:pPr>
      <w:r>
        <w:t>In many legal systems discrimination on the basis</w:t>
      </w:r>
      <w:r w:rsidR="008E1B4C">
        <w:t xml:space="preserve"> of age,</w:t>
      </w:r>
      <w:r>
        <w:t xml:space="preserve"> sex or race are outlawed whereas some forms of discrimination are within the law, particularly in employment and in access to services, such as health care and financial services. </w:t>
      </w:r>
      <w:r w:rsidR="00B2431F">
        <w:t>A</w:t>
      </w:r>
      <w:r>
        <w:t xml:space="preserve">s we </w:t>
      </w:r>
      <w:r w:rsidR="00B2431F">
        <w:t>grow older</w:t>
      </w:r>
      <w:r>
        <w:t xml:space="preserve">, the cumulative impact of years of discrimination can build up to have a much greater impact. </w:t>
      </w:r>
    </w:p>
    <w:p w:rsidR="00FB0DBC" w:rsidRDefault="00441DDA" w:rsidP="007F2BD4">
      <w:pPr>
        <w:spacing w:after="120"/>
        <w:ind w:left="0"/>
      </w:pPr>
      <w:r>
        <w:t>Action on the SDGs to address age discrimination w</w:t>
      </w:r>
      <w:r w:rsidR="00FB0DBC">
        <w:t>ould mean</w:t>
      </w:r>
      <w:r>
        <w:t>, for example,</w:t>
      </w:r>
      <w:r w:rsidR="00FB0DBC">
        <w:t xml:space="preserve"> ensuring that laws and policies do</w:t>
      </w:r>
      <w:r w:rsidR="00694493">
        <w:t xml:space="preserve"> not discriminate against women</w:t>
      </w:r>
      <w:r w:rsidR="008A43F2">
        <w:t xml:space="preserve"> (such as some pensions policies)</w:t>
      </w:r>
      <w:r w:rsidR="00694493">
        <w:t xml:space="preserve">, </w:t>
      </w:r>
      <w:r>
        <w:t xml:space="preserve">and </w:t>
      </w:r>
      <w:r w:rsidR="00FB0DBC">
        <w:t>abolishing laws, policies or practices that discriminate on the basis of age (such as upper age limits to healthcare treatment). Or it could be by revising laws or policies that exclude older people, (for example domestic violence legislation or humanitarian response programmes).</w:t>
      </w:r>
    </w:p>
    <w:p w:rsidR="001F3A4D" w:rsidRDefault="0030419D" w:rsidP="007F2BD4">
      <w:pPr>
        <w:spacing w:after="120"/>
        <w:ind w:left="0"/>
      </w:pPr>
      <w:r>
        <w:t xml:space="preserve">The SDGs </w:t>
      </w:r>
      <w:r w:rsidR="00975007">
        <w:t xml:space="preserve">have some </w:t>
      </w:r>
      <w:r w:rsidR="00D210BC">
        <w:t xml:space="preserve">relevance </w:t>
      </w:r>
      <w:r w:rsidR="00E46632">
        <w:t xml:space="preserve">to </w:t>
      </w:r>
      <w:proofErr w:type="spellStart"/>
      <w:r w:rsidR="00E46632">
        <w:t>HelpAge’s</w:t>
      </w:r>
      <w:proofErr w:type="spellEnd"/>
      <w:r w:rsidR="00E46632">
        <w:t xml:space="preserve"> </w:t>
      </w:r>
      <w:r w:rsidR="008C2C2F">
        <w:t>goal</w:t>
      </w:r>
      <w:r w:rsidR="00975007">
        <w:t xml:space="preserve"> relating to </w:t>
      </w:r>
      <w:r w:rsidR="007D51C0">
        <w:t>discrimination</w:t>
      </w:r>
      <w:r w:rsidR="005054CE">
        <w:t>,</w:t>
      </w:r>
      <w:r w:rsidR="007D51C0">
        <w:t xml:space="preserve"> violence and abuse</w:t>
      </w:r>
      <w:r w:rsidR="00E46632">
        <w:t xml:space="preserve">. </w:t>
      </w:r>
      <w:r w:rsidR="007D51C0">
        <w:t>For example, we say that i</w:t>
      </w:r>
      <w:r w:rsidR="00FB0DBC">
        <w:t xml:space="preserve">ssues such as violence against women </w:t>
      </w:r>
      <w:r w:rsidR="007D5973">
        <w:t xml:space="preserve">have </w:t>
      </w:r>
      <w:r w:rsidR="007D51C0">
        <w:t>to be addressed throughout life, and that t</w:t>
      </w:r>
      <w:r w:rsidR="00FB0DBC">
        <w:t xml:space="preserve">here should be a focus on the violence </w:t>
      </w:r>
      <w:r w:rsidR="002311F6">
        <w:t xml:space="preserve">to which </w:t>
      </w:r>
      <w:r w:rsidR="00FB0DBC">
        <w:t xml:space="preserve">older </w:t>
      </w:r>
      <w:r w:rsidR="00FB0DBC">
        <w:lastRenderedPageBreak/>
        <w:t xml:space="preserve">people are subjected </w:t>
      </w:r>
      <w:r w:rsidR="00B05D29">
        <w:t>in</w:t>
      </w:r>
      <w:r w:rsidR="00B05D29" w:rsidRPr="00B05D29">
        <w:t xml:space="preserve"> the private and the public sphere</w:t>
      </w:r>
      <w:r w:rsidR="001F3A4D">
        <w:t xml:space="preserve"> (</w:t>
      </w:r>
      <w:r w:rsidR="00FB0DBC">
        <w:t xml:space="preserve">at home and </w:t>
      </w:r>
      <w:r w:rsidR="004473A8">
        <w:t>in community</w:t>
      </w:r>
      <w:r w:rsidR="00FB0DBC">
        <w:t xml:space="preserve"> or </w:t>
      </w:r>
      <w:r w:rsidR="004473A8">
        <w:t>care settings</w:t>
      </w:r>
      <w:r w:rsidR="001F3A4D">
        <w:t>)</w:t>
      </w:r>
      <w:r w:rsidR="004473A8">
        <w:t xml:space="preserve">, </w:t>
      </w:r>
      <w:r w:rsidR="00FB0DBC">
        <w:t>as well as stru</w:t>
      </w:r>
      <w:r w:rsidR="00E46632">
        <w:t xml:space="preserve">ctural violence, and </w:t>
      </w:r>
      <w:r w:rsidR="00B05D29">
        <w:t xml:space="preserve">on </w:t>
      </w:r>
      <w:r w:rsidR="00FB0DBC">
        <w:t xml:space="preserve">harmful practices such as those related to witchcraft. </w:t>
      </w:r>
    </w:p>
    <w:p w:rsidR="00FB0DBC" w:rsidRDefault="00E43326" w:rsidP="007F2BD4">
      <w:pPr>
        <w:spacing w:after="120"/>
        <w:ind w:left="0"/>
      </w:pPr>
      <w:r>
        <w:t>T</w:t>
      </w:r>
      <w:r w:rsidR="00FB0DBC">
        <w:t xml:space="preserve">hese issues could be addressed through the SDGs, </w:t>
      </w:r>
      <w:r>
        <w:t xml:space="preserve">but </w:t>
      </w:r>
      <w:r w:rsidR="00FB0DBC">
        <w:t xml:space="preserve">there are limitations. For example, </w:t>
      </w:r>
      <w:r w:rsidR="002311F6">
        <w:t>SDG</w:t>
      </w:r>
      <w:r w:rsidR="00FB0DBC">
        <w:t xml:space="preserve"> 5.2 calls for elimination of violence against all women and girls, but the two main data sources</w:t>
      </w:r>
      <w:r w:rsidR="005472BD">
        <w:rPr>
          <w:rStyle w:val="FootnoteReference"/>
        </w:rPr>
        <w:footnoteReference w:id="3"/>
      </w:r>
      <w:r w:rsidR="00FB0DBC">
        <w:t xml:space="preserve"> are not available </w:t>
      </w:r>
      <w:r w:rsidR="00C46B0B">
        <w:t>for every country, and are</w:t>
      </w:r>
      <w:r w:rsidR="00BA2B71">
        <w:t xml:space="preserve"> </w:t>
      </w:r>
      <w:r w:rsidR="008C6751">
        <w:t>age-limited</w:t>
      </w:r>
      <w:r w:rsidR="00FB0DBC">
        <w:t xml:space="preserve">. The SDGs will only contribute to our </w:t>
      </w:r>
      <w:r w:rsidR="002311F6">
        <w:t>g</w:t>
      </w:r>
      <w:r w:rsidR="008C2C2F">
        <w:t>oal</w:t>
      </w:r>
      <w:r w:rsidR="00FB0DBC">
        <w:t xml:space="preserve"> if data collection, prevention and support services, and reform of the justice system address all forms of violence and </w:t>
      </w:r>
      <w:r w:rsidR="001D1600">
        <w:t>target</w:t>
      </w:r>
      <w:r w:rsidR="00FB0DBC">
        <w:t xml:space="preserve"> older people</w:t>
      </w:r>
      <w:r w:rsidR="00513254">
        <w:t>.</w:t>
      </w:r>
    </w:p>
    <w:p w:rsidR="00E46632" w:rsidRPr="00F417DA" w:rsidRDefault="00FB0DBC" w:rsidP="007F2BD4">
      <w:pPr>
        <w:spacing w:after="120"/>
        <w:ind w:left="0"/>
      </w:pPr>
      <w:r>
        <w:t xml:space="preserve">Implementation of the SDGs </w:t>
      </w:r>
      <w:r w:rsidR="00EE4DED">
        <w:t>must also</w:t>
      </w:r>
      <w:r>
        <w:t xml:space="preserve"> recognise different forms of abuse, ranging from financial and economic to sexual and physical, or simple neglect. There </w:t>
      </w:r>
      <w:r w:rsidR="00A64C21">
        <w:t xml:space="preserve">may be a range of perpetrators, </w:t>
      </w:r>
      <w:r>
        <w:t xml:space="preserve">from adult children, including women, to fraudsters. Victims may be men as well as women. Ageism can also intersect with gender-based violence, ageism being a primary driver. The SDG process </w:t>
      </w:r>
      <w:r w:rsidR="00A64C21">
        <w:t>must also</w:t>
      </w:r>
      <w:r w:rsidR="00513254">
        <w:t xml:space="preserve"> understand how to balance individual</w:t>
      </w:r>
      <w:r>
        <w:t xml:space="preserve"> rights to make decisions about their lives with the right to protection from violence and abuse.</w:t>
      </w:r>
    </w:p>
    <w:p w:rsidR="004E6516" w:rsidRDefault="004E6516" w:rsidP="007F2BD4">
      <w:pPr>
        <w:spacing w:after="120"/>
        <w:rPr>
          <w:b/>
        </w:rPr>
      </w:pPr>
      <w:r>
        <w:rPr>
          <w:b/>
        </w:rPr>
        <w:br w:type="page"/>
      </w:r>
    </w:p>
    <w:p w:rsidR="001C6AA5" w:rsidRDefault="00856C1E" w:rsidP="007F2BD4">
      <w:pPr>
        <w:spacing w:after="120"/>
        <w:ind w:left="0"/>
        <w:rPr>
          <w:b/>
        </w:rPr>
      </w:pPr>
      <w:r w:rsidRPr="00907048">
        <w:rPr>
          <w:b/>
        </w:rPr>
        <w:lastRenderedPageBreak/>
        <w:t>H</w:t>
      </w:r>
      <w:r w:rsidR="001C6AA5" w:rsidRPr="00907048">
        <w:rPr>
          <w:b/>
        </w:rPr>
        <w:t xml:space="preserve">elpAge </w:t>
      </w:r>
      <w:r w:rsidR="008C2C2F">
        <w:rPr>
          <w:b/>
        </w:rPr>
        <w:t>Goal</w:t>
      </w:r>
      <w:r w:rsidR="001C6AA5" w:rsidRPr="00907048">
        <w:rPr>
          <w:b/>
        </w:rPr>
        <w:t xml:space="preserve"> 4: My voice is heard</w:t>
      </w:r>
    </w:p>
    <w:p w:rsidR="00BB66C0" w:rsidRPr="00907048" w:rsidRDefault="00BB66C0" w:rsidP="007F2BD4">
      <w:pPr>
        <w:spacing w:after="120"/>
        <w:ind w:left="0"/>
        <w:rPr>
          <w:b/>
        </w:rPr>
      </w:pPr>
      <w:r>
        <w:rPr>
          <w:b/>
        </w:rPr>
        <w:t>What the SDGs say</w:t>
      </w:r>
    </w:p>
    <w:p w:rsidR="009737A3" w:rsidRPr="00B360E1" w:rsidRDefault="001C6AA5" w:rsidP="007F2BD4">
      <w:pPr>
        <w:spacing w:after="120"/>
        <w:ind w:left="0"/>
      </w:pPr>
      <w:r w:rsidRPr="00B360E1">
        <w:t>Voice is addressed in a number of</w:t>
      </w:r>
      <w:r w:rsidR="00651877" w:rsidRPr="00B360E1">
        <w:t xml:space="preserve"> SDG</w:t>
      </w:r>
      <w:r w:rsidR="00E13AF1">
        <w:t xml:space="preserve"> target</w:t>
      </w:r>
      <w:r w:rsidR="00651877" w:rsidRPr="00B360E1">
        <w:t>s:</w:t>
      </w:r>
    </w:p>
    <w:p w:rsidR="002658A4" w:rsidRPr="007F2BD4" w:rsidRDefault="00EE4DED" w:rsidP="007F2BD4">
      <w:pPr>
        <w:autoSpaceDE w:val="0"/>
        <w:autoSpaceDN w:val="0"/>
        <w:adjustRightInd w:val="0"/>
        <w:spacing w:after="120"/>
        <w:ind w:left="0"/>
        <w:rPr>
          <w:rFonts w:cs="TimesNewRoman"/>
        </w:rPr>
      </w:pPr>
      <w:r w:rsidRPr="00651E10">
        <w:t>SDG</w:t>
      </w:r>
      <w:r w:rsidR="001C6AA5" w:rsidRPr="00651E10">
        <w:t xml:space="preserve"> 5.5 </w:t>
      </w:r>
      <w:r w:rsidR="009E4994" w:rsidRPr="00651E10">
        <w:rPr>
          <w:rFonts w:cs="TimesNewRoman"/>
        </w:rPr>
        <w:t>Ensure women’s full and effective participation and equal opportunities for</w:t>
      </w:r>
      <w:r w:rsidR="007F2BD4">
        <w:rPr>
          <w:rFonts w:cs="TimesNewRoman"/>
        </w:rPr>
        <w:t xml:space="preserve"> </w:t>
      </w:r>
      <w:r w:rsidR="009E4994" w:rsidRPr="00651E10">
        <w:rPr>
          <w:rFonts w:cs="TimesNewRoman"/>
        </w:rPr>
        <w:t>leadership at all levels of decision-making in political, economic and public life</w:t>
      </w:r>
    </w:p>
    <w:p w:rsidR="002658A4" w:rsidRPr="007F2BD4" w:rsidRDefault="004053D3" w:rsidP="007F2BD4">
      <w:pPr>
        <w:autoSpaceDE w:val="0"/>
        <w:autoSpaceDN w:val="0"/>
        <w:adjustRightInd w:val="0"/>
        <w:spacing w:after="120"/>
        <w:ind w:left="0"/>
        <w:rPr>
          <w:rFonts w:cs="TimesNewRoman"/>
        </w:rPr>
      </w:pPr>
      <w:r w:rsidRPr="00651E10">
        <w:t>SDG</w:t>
      </w:r>
      <w:r w:rsidR="001C6AA5" w:rsidRPr="00651E10">
        <w:t xml:space="preserve"> 10.2 </w:t>
      </w:r>
      <w:r w:rsidR="00564BF9" w:rsidRPr="00651E10">
        <w:rPr>
          <w:rFonts w:cs="TimesNewRoman"/>
        </w:rPr>
        <w:t>By 2030, empower and promote the social, economic and political inclusion of</w:t>
      </w:r>
      <w:r w:rsidR="007F2BD4">
        <w:rPr>
          <w:rFonts w:cs="TimesNewRoman"/>
        </w:rPr>
        <w:t xml:space="preserve"> </w:t>
      </w:r>
      <w:r w:rsidR="00564BF9" w:rsidRPr="00651E10">
        <w:rPr>
          <w:rFonts w:cs="TimesNewRoman"/>
        </w:rPr>
        <w:t>all, irrespective of age, sex, disability, race, ethnicity, origin, religion or economic</w:t>
      </w:r>
      <w:r w:rsidR="007F2BD4">
        <w:rPr>
          <w:rFonts w:cs="TimesNewRoman"/>
        </w:rPr>
        <w:t xml:space="preserve"> </w:t>
      </w:r>
      <w:r w:rsidR="00564BF9" w:rsidRPr="00651E10">
        <w:rPr>
          <w:rFonts w:cs="TimesNewRoman"/>
        </w:rPr>
        <w:t>or other status</w:t>
      </w:r>
    </w:p>
    <w:p w:rsidR="007F2BD4" w:rsidRDefault="00564BF9" w:rsidP="007F2BD4">
      <w:pPr>
        <w:autoSpaceDE w:val="0"/>
        <w:autoSpaceDN w:val="0"/>
        <w:adjustRightInd w:val="0"/>
        <w:spacing w:after="120"/>
        <w:ind w:left="0"/>
        <w:rPr>
          <w:rFonts w:cs="TimesNewRoman"/>
        </w:rPr>
      </w:pPr>
      <w:r w:rsidRPr="00651E10">
        <w:rPr>
          <w:rFonts w:cs="TimesNewRoman"/>
        </w:rPr>
        <w:t>Develop effective, accountable and transparent institutions at all levels</w:t>
      </w:r>
    </w:p>
    <w:p w:rsidR="00564BF9" w:rsidRPr="007F2BD4" w:rsidRDefault="00564BF9" w:rsidP="007F2BD4">
      <w:pPr>
        <w:autoSpaceDE w:val="0"/>
        <w:autoSpaceDN w:val="0"/>
        <w:adjustRightInd w:val="0"/>
        <w:spacing w:after="120"/>
        <w:ind w:left="0"/>
        <w:rPr>
          <w:rFonts w:cs="TimesNewRoman"/>
        </w:rPr>
      </w:pPr>
      <w:r w:rsidRPr="00651E10">
        <w:rPr>
          <w:rFonts w:cs="TimesNewRoman"/>
        </w:rPr>
        <w:t>16.7 Ensure responsive, inclusive, participatory and representative decision</w:t>
      </w:r>
      <w:r w:rsidR="00BA2B71">
        <w:rPr>
          <w:rFonts w:cs="TimesNewRoman"/>
        </w:rPr>
        <w:t xml:space="preserve"> </w:t>
      </w:r>
      <w:r w:rsidRPr="00651E10">
        <w:rPr>
          <w:rFonts w:cs="TimesNewRoman"/>
        </w:rPr>
        <w:t>making</w:t>
      </w:r>
      <w:r w:rsidR="007F2BD4">
        <w:rPr>
          <w:rFonts w:cs="TimesNewRoman"/>
        </w:rPr>
        <w:t xml:space="preserve"> </w:t>
      </w:r>
      <w:r w:rsidRPr="00651E10">
        <w:rPr>
          <w:rFonts w:cs="TimesNewRoman"/>
        </w:rPr>
        <w:t>at all levels</w:t>
      </w:r>
    </w:p>
    <w:p w:rsidR="002658A4" w:rsidRPr="002658A4" w:rsidRDefault="002658A4" w:rsidP="007F2BD4">
      <w:pPr>
        <w:spacing w:after="120"/>
      </w:pPr>
    </w:p>
    <w:p w:rsidR="00996921" w:rsidRPr="00953852" w:rsidRDefault="00996921" w:rsidP="00996921">
      <w:pPr>
        <w:keepNext/>
        <w:keepLines/>
        <w:spacing w:after="120"/>
        <w:ind w:left="0"/>
        <w:outlineLvl w:val="2"/>
        <w:rPr>
          <w:rFonts w:eastAsiaTheme="majorEastAsia" w:cstheme="majorBidi"/>
          <w:b/>
          <w:bCs/>
        </w:rPr>
      </w:pPr>
      <w:proofErr w:type="spellStart"/>
      <w:r w:rsidRPr="00953852">
        <w:rPr>
          <w:rFonts w:eastAsiaTheme="majorEastAsia" w:cstheme="majorBidi"/>
          <w:b/>
          <w:bCs/>
        </w:rPr>
        <w:t>HelpAge’s</w:t>
      </w:r>
      <w:proofErr w:type="spellEnd"/>
      <w:r w:rsidRPr="00953852">
        <w:rPr>
          <w:rFonts w:eastAsiaTheme="majorEastAsia" w:cstheme="majorBidi"/>
          <w:b/>
          <w:bCs/>
        </w:rPr>
        <w:t xml:space="preserve"> position:</w:t>
      </w:r>
    </w:p>
    <w:p w:rsidR="00996921" w:rsidRPr="00953852" w:rsidRDefault="00996921" w:rsidP="00996921">
      <w:pPr>
        <w:numPr>
          <w:ilvl w:val="0"/>
          <w:numId w:val="12"/>
        </w:numPr>
        <w:spacing w:after="120"/>
        <w:ind w:left="0"/>
        <w:contextualSpacing/>
        <w:rPr>
          <w:rFonts w:eastAsiaTheme="majorEastAsia" w:cstheme="majorBidi"/>
          <w:b/>
          <w:bCs/>
        </w:rPr>
      </w:pPr>
      <w:r w:rsidRPr="00953852">
        <w:rPr>
          <w:rFonts w:eastAsiaTheme="majorEastAsia" w:cstheme="majorBidi"/>
          <w:b/>
          <w:bCs/>
        </w:rPr>
        <w:t>Accountability mechanisms must be accessible for all, and s</w:t>
      </w:r>
      <w:r w:rsidRPr="00953852">
        <w:rPr>
          <w:b/>
        </w:rPr>
        <w:t>pecial measures are needed to ensure that the voices of the most vulnerable and marginalised older citizens are heard.</w:t>
      </w:r>
    </w:p>
    <w:p w:rsidR="00996921" w:rsidRPr="00953852" w:rsidRDefault="00996921" w:rsidP="00996921">
      <w:pPr>
        <w:spacing w:after="120"/>
        <w:ind w:left="0"/>
        <w:contextualSpacing/>
        <w:rPr>
          <w:rFonts w:eastAsiaTheme="majorEastAsia" w:cstheme="majorBidi"/>
          <w:b/>
          <w:bCs/>
        </w:rPr>
      </w:pPr>
    </w:p>
    <w:p w:rsidR="00996921" w:rsidRPr="00953852" w:rsidRDefault="00996921" w:rsidP="00996921">
      <w:pPr>
        <w:numPr>
          <w:ilvl w:val="0"/>
          <w:numId w:val="12"/>
        </w:numPr>
        <w:spacing w:after="120"/>
        <w:ind w:left="0"/>
        <w:contextualSpacing/>
        <w:rPr>
          <w:b/>
        </w:rPr>
      </w:pPr>
      <w:r w:rsidRPr="00953852">
        <w:rPr>
          <w:b/>
        </w:rPr>
        <w:t>We are disappointed that the SDGs do not help to achieve the HelpAge network’s goal of a new convention on the rights of older people, and will continue to campaign for it outside the SDG process.</w:t>
      </w:r>
    </w:p>
    <w:p w:rsidR="00996921" w:rsidRDefault="00996921" w:rsidP="00996921">
      <w:pPr>
        <w:spacing w:after="120"/>
        <w:ind w:left="0"/>
      </w:pPr>
      <w:r w:rsidRPr="00953852">
        <w:t xml:space="preserve">Negotiations on the SDG framework promised a more participatory and inclusive set of goals, and participation, inclusion, and responsive, representative and accountable institutions feature in a number of SDG goals. However an examination of the goals with their indicators gives little sense that the SDGs are more participatory in nature than the MDGs. We believe that “voice” is about redressing power imbalances within societies and strengthening older people’s capacity to express their views, leading to greater inclusion in decision-making and influence over government policy priorities. Helping older people understand that they have human rights and responsibilities is fundamental in strengthening their voices. However, the conventional instruments of voice and </w:t>
      </w:r>
      <w:r w:rsidRPr="00953852">
        <w:lastRenderedPageBreak/>
        <w:t>empowerment – information and communication – are often out of reach for older people, particularly older women</w:t>
      </w:r>
      <w:r>
        <w:t>.</w:t>
      </w:r>
      <w:r w:rsidRPr="00953852">
        <w:t xml:space="preserve"> </w:t>
      </w:r>
    </w:p>
    <w:p w:rsidR="00996921" w:rsidRPr="00953852" w:rsidRDefault="00996921" w:rsidP="00996921">
      <w:pPr>
        <w:spacing w:after="120"/>
        <w:ind w:left="0"/>
      </w:pPr>
      <w:r w:rsidRPr="00953852">
        <w:t xml:space="preserve">Furthermore, enabling older people to analyse their problems and become advocates for their rights is only one side of strengthening voice. Duty bearers </w:t>
      </w:r>
      <w:r>
        <w:t>need to know</w:t>
      </w:r>
      <w:r w:rsidRPr="00953852">
        <w:t xml:space="preserve"> about older people’s rights and the exclusions they experience. Accountability mechanisms for civil society and government to interact are necessary, and should be accessible for older citizens</w:t>
      </w:r>
      <w:r>
        <w:t>.</w:t>
      </w:r>
    </w:p>
    <w:p w:rsidR="00996921" w:rsidRPr="00953852" w:rsidRDefault="00996921" w:rsidP="00996921">
      <w:pPr>
        <w:spacing w:after="120"/>
        <w:ind w:left="0"/>
      </w:pPr>
      <w:r w:rsidRPr="00953852">
        <w:t xml:space="preserve">That is why we are disappointed that the SDGs do not better address accountability processes for marginalised groups such as older people. For example indicator 5.5.1 (proportion of seats held by women in national parliaments and local governments) relates to formal posts in parliament, government, public institutions or businesses, which are out of reach for the large majority of older women, with no route provided to strengthen their participation. Nor do these indicators tell us anything about the quality of participation, which can result in tokenistic gestures or quotas.  </w:t>
      </w:r>
    </w:p>
    <w:p w:rsidR="00996921" w:rsidRPr="00953852" w:rsidRDefault="00996921" w:rsidP="00996921">
      <w:pPr>
        <w:spacing w:after="120"/>
        <w:ind w:left="0"/>
      </w:pPr>
      <w:r w:rsidRPr="00953852">
        <w:t xml:space="preserve">The indicators also say little about inclusion and participation processes, critical for strengthening voice and accountability. Neither goals nor indicators go far enough in reflecting the ideas proposed in the interactive discussions held in the run-up to the SDG summit. Finally, and crucially from </w:t>
      </w:r>
      <w:proofErr w:type="spellStart"/>
      <w:r w:rsidRPr="00953852">
        <w:t>HelpAge’s</w:t>
      </w:r>
      <w:proofErr w:type="spellEnd"/>
      <w:r w:rsidRPr="00953852">
        <w:t xml:space="preserve"> perspective, the SDGs, while offering an additional layer of protection for existing conventions (such as those on disability and children’s rights), give no help to the achievement of our goal for a new convention on the rights of older people. The HelpAge network will continue to campaign with our partners, emphasising that a new convention would strengthen the delivery of the SDGs for older people.</w:t>
      </w:r>
    </w:p>
    <w:p w:rsidR="00ED4D80" w:rsidRPr="002658A4" w:rsidRDefault="00711959" w:rsidP="007F2BD4">
      <w:pPr>
        <w:spacing w:after="120"/>
        <w:ind w:left="0"/>
      </w:pPr>
      <w:r>
        <w:br w:type="page"/>
      </w:r>
      <w:r w:rsidR="00ED4D80" w:rsidRPr="00ED4D80">
        <w:rPr>
          <w:rFonts w:eastAsiaTheme="majorEastAsia" w:cstheme="majorBidi"/>
          <w:b/>
          <w:bCs/>
        </w:rPr>
        <w:lastRenderedPageBreak/>
        <w:t>Disaster Risk Reduction, Resilience and Humanitarian Respons</w:t>
      </w:r>
      <w:r w:rsidR="00ED4D80">
        <w:rPr>
          <w:rFonts w:eastAsiaTheme="majorEastAsia" w:cstheme="majorBidi"/>
          <w:b/>
          <w:bCs/>
        </w:rPr>
        <w:t>e</w:t>
      </w:r>
    </w:p>
    <w:p w:rsidR="00683B9B" w:rsidRDefault="00683B9B" w:rsidP="007F2BD4">
      <w:pPr>
        <w:spacing w:after="120"/>
        <w:ind w:left="0"/>
        <w:rPr>
          <w:b/>
        </w:rPr>
      </w:pPr>
      <w:r w:rsidRPr="00683B9B">
        <w:rPr>
          <w:b/>
        </w:rPr>
        <w:t>What the SDGs say</w:t>
      </w:r>
    </w:p>
    <w:p w:rsidR="00262768" w:rsidRPr="00262768" w:rsidRDefault="00262768" w:rsidP="007F2BD4">
      <w:pPr>
        <w:spacing w:after="120"/>
        <w:ind w:left="0"/>
      </w:pPr>
      <w:r w:rsidRPr="00262768">
        <w:t>Whilst there is no single SDG addressing humanitarian aid or DRR, a number of the SDGs cover relevant topics.</w:t>
      </w:r>
    </w:p>
    <w:p w:rsidR="00853E73" w:rsidRPr="00853E73" w:rsidRDefault="003036CA" w:rsidP="007F2BD4">
      <w:pPr>
        <w:spacing w:after="120"/>
        <w:ind w:left="0"/>
      </w:pPr>
      <w:r>
        <w:t>SDG</w:t>
      </w:r>
      <w:r w:rsidR="00853E73" w:rsidRPr="00853E73">
        <w:t xml:space="preserve"> 1 on poverty, with </w:t>
      </w:r>
      <w:r w:rsidR="00854E0F">
        <w:t>t</w:t>
      </w:r>
      <w:r w:rsidR="001D1600">
        <w:t>arget</w:t>
      </w:r>
      <w:r w:rsidR="00A816D6">
        <w:t xml:space="preserve"> 1.5</w:t>
      </w:r>
      <w:r w:rsidR="00853E73" w:rsidRPr="00853E73">
        <w:t xml:space="preserve"> on resilience of the poor to climate-related extreme events and other shocks and disasters, including environmental. No explicit reference to older people or age. </w:t>
      </w:r>
    </w:p>
    <w:p w:rsidR="00853E73" w:rsidRPr="00853E73" w:rsidRDefault="00BF7C8E" w:rsidP="007F2BD4">
      <w:pPr>
        <w:spacing w:after="120"/>
        <w:ind w:left="0"/>
      </w:pPr>
      <w:r>
        <w:t>SDG</w:t>
      </w:r>
      <w:r w:rsidR="00853E73" w:rsidRPr="00853E73">
        <w:t xml:space="preserve"> 2 on zero hunger includes </w:t>
      </w:r>
      <w:r w:rsidR="00CB0430">
        <w:t>t</w:t>
      </w:r>
      <w:r w:rsidR="001D1600">
        <w:t>arget</w:t>
      </w:r>
      <w:r w:rsidR="000577EC">
        <w:t xml:space="preserve">2.2 </w:t>
      </w:r>
      <w:r w:rsidR="00853E73" w:rsidRPr="00853E73">
        <w:t>on ending malnutrition, specifically incl</w:t>
      </w:r>
      <w:r w:rsidR="00481B69">
        <w:t>uding older people, as well as</w:t>
      </w:r>
      <w:r w:rsidR="00BA2B71">
        <w:t xml:space="preserve"> </w:t>
      </w:r>
      <w:r w:rsidR="00CB0430">
        <w:t>t</w:t>
      </w:r>
      <w:r w:rsidR="001D1600">
        <w:t>arget</w:t>
      </w:r>
      <w:r w:rsidR="000577EC">
        <w:t xml:space="preserve"> 2.4</w:t>
      </w:r>
      <w:r w:rsidR="00853E73" w:rsidRPr="00853E73">
        <w:t xml:space="preserve"> on ensuring sustainable food production systems and resilient agricultural practices that strengthen capacity for adaptation to climate change, extreme weather, drought, flooding and other disasters.</w:t>
      </w:r>
    </w:p>
    <w:p w:rsidR="00853E73" w:rsidRPr="00853E73" w:rsidRDefault="00CB0430" w:rsidP="007F2BD4">
      <w:pPr>
        <w:spacing w:after="120"/>
        <w:ind w:left="0"/>
      </w:pPr>
      <w:r>
        <w:t>SDG</w:t>
      </w:r>
      <w:r w:rsidR="00853E73" w:rsidRPr="00853E73">
        <w:t xml:space="preserve">3 on </w:t>
      </w:r>
      <w:r w:rsidR="00481B69">
        <w:t>health and well-being includes</w:t>
      </w:r>
      <w:r w:rsidR="007F2BD4">
        <w:t xml:space="preserve"> </w:t>
      </w:r>
      <w:r w:rsidR="00854E0F">
        <w:t>t</w:t>
      </w:r>
      <w:r w:rsidR="001D1600">
        <w:t>arget</w:t>
      </w:r>
      <w:r w:rsidR="007F2BD4">
        <w:t xml:space="preserve"> </w:t>
      </w:r>
      <w:r w:rsidR="00481B69">
        <w:t xml:space="preserve">3.4 </w:t>
      </w:r>
      <w:r w:rsidR="00853E73" w:rsidRPr="00853E73">
        <w:t xml:space="preserve">on reducing premature mortality from </w:t>
      </w:r>
      <w:r w:rsidR="003E7822">
        <w:t>NCDs</w:t>
      </w:r>
      <w:r w:rsidR="00853E73" w:rsidRPr="00853E73">
        <w:t xml:space="preserve"> by one third and promoting mental health and well-being</w:t>
      </w:r>
      <w:r w:rsidR="00784A6B">
        <w:t>.</w:t>
      </w:r>
      <w:r w:rsidR="007B1D31">
        <w:rPr>
          <w:rStyle w:val="FootnoteReference"/>
        </w:rPr>
        <w:footnoteReference w:id="4"/>
      </w:r>
    </w:p>
    <w:p w:rsidR="00853E73" w:rsidRPr="00853E73" w:rsidRDefault="00CB0430" w:rsidP="007F2BD4">
      <w:pPr>
        <w:spacing w:after="120"/>
        <w:ind w:left="0"/>
      </w:pPr>
      <w:r>
        <w:t xml:space="preserve">SDG </w:t>
      </w:r>
      <w:r w:rsidR="00853E73" w:rsidRPr="00853E73">
        <w:t xml:space="preserve">5 on gender and equality has </w:t>
      </w:r>
      <w:r>
        <w:t>t</w:t>
      </w:r>
      <w:r w:rsidR="001D1600">
        <w:t>arget</w:t>
      </w:r>
      <w:r w:rsidR="00481B69">
        <w:t xml:space="preserve">5.2 </w:t>
      </w:r>
      <w:r w:rsidR="00853E73" w:rsidRPr="00853E73">
        <w:t>to eliminate all forms of violence against all women and girls.</w:t>
      </w:r>
    </w:p>
    <w:p w:rsidR="00DD51B2" w:rsidRDefault="00CB0430" w:rsidP="007F2BD4">
      <w:pPr>
        <w:spacing w:after="120"/>
        <w:ind w:left="0"/>
      </w:pPr>
      <w:r>
        <w:t>SDG</w:t>
      </w:r>
      <w:r w:rsidR="00853E73" w:rsidRPr="00853E73">
        <w:t xml:space="preserve"> 13 on climate action has several </w:t>
      </w:r>
      <w:r>
        <w:t>t</w:t>
      </w:r>
      <w:r w:rsidR="001D1600">
        <w:t>arget</w:t>
      </w:r>
      <w:r w:rsidR="00853E73" w:rsidRPr="00853E73">
        <w:t>s on strengthening human resilience and adaptive capacity to climate–related hazards and natural disasters, as well as</w:t>
      </w:r>
      <w:r w:rsidR="00BA2B71">
        <w:t xml:space="preserve"> </w:t>
      </w:r>
      <w:r w:rsidR="00853E73" w:rsidRPr="00853E73">
        <w:t xml:space="preserve">institutional capacity, policies and measures.  </w:t>
      </w:r>
      <w:r w:rsidR="00E434B9">
        <w:t>There are n</w:t>
      </w:r>
      <w:r w:rsidR="00853E73" w:rsidRPr="00853E73">
        <w:t>o references to older people.</w:t>
      </w:r>
    </w:p>
    <w:p w:rsidR="002658A4" w:rsidRDefault="002658A4" w:rsidP="007F2BD4">
      <w:pPr>
        <w:spacing w:after="120"/>
        <w:ind w:left="0"/>
        <w:rPr>
          <w:b/>
        </w:rPr>
      </w:pPr>
    </w:p>
    <w:p w:rsidR="00DD51B2" w:rsidRDefault="00D770B3" w:rsidP="007F2BD4">
      <w:pPr>
        <w:spacing w:after="120"/>
        <w:ind w:left="0"/>
      </w:pPr>
      <w:proofErr w:type="spellStart"/>
      <w:r w:rsidRPr="00DD51B2">
        <w:rPr>
          <w:b/>
        </w:rPr>
        <w:t>H</w:t>
      </w:r>
      <w:r w:rsidR="00125C28" w:rsidRPr="00DD51B2">
        <w:rPr>
          <w:b/>
        </w:rPr>
        <w:t>elpAge</w:t>
      </w:r>
      <w:r w:rsidR="00683B9B" w:rsidRPr="00DD51B2">
        <w:rPr>
          <w:b/>
        </w:rPr>
        <w:t>’s</w:t>
      </w:r>
      <w:proofErr w:type="spellEnd"/>
      <w:r w:rsidR="00125C28" w:rsidRPr="00DD51B2">
        <w:rPr>
          <w:b/>
        </w:rPr>
        <w:t xml:space="preserve"> position</w:t>
      </w:r>
    </w:p>
    <w:p w:rsidR="00666220" w:rsidRPr="00666220" w:rsidRDefault="00C46259" w:rsidP="007F2BD4">
      <w:pPr>
        <w:pStyle w:val="ListParagraph"/>
        <w:numPr>
          <w:ilvl w:val="0"/>
          <w:numId w:val="11"/>
        </w:numPr>
        <w:spacing w:after="120"/>
        <w:ind w:left="0"/>
        <w:rPr>
          <w:b/>
        </w:rPr>
      </w:pPr>
      <w:r>
        <w:rPr>
          <w:b/>
        </w:rPr>
        <w:t>The design and implementation of adaptive, sustainable and resilience-based strategies must reflect the rapid demographic transition to an ageing world</w:t>
      </w:r>
    </w:p>
    <w:p w:rsidR="00666220" w:rsidRPr="00666220" w:rsidRDefault="00666220" w:rsidP="007F2BD4">
      <w:pPr>
        <w:pStyle w:val="ListParagraph"/>
        <w:spacing w:after="120"/>
        <w:ind w:left="0"/>
        <w:rPr>
          <w:b/>
        </w:rPr>
      </w:pPr>
    </w:p>
    <w:p w:rsidR="00666220" w:rsidRPr="00666220" w:rsidRDefault="00666220" w:rsidP="007F2BD4">
      <w:pPr>
        <w:pStyle w:val="ListParagraph"/>
        <w:numPr>
          <w:ilvl w:val="0"/>
          <w:numId w:val="11"/>
        </w:numPr>
        <w:spacing w:after="120"/>
        <w:ind w:left="0"/>
        <w:rPr>
          <w:b/>
        </w:rPr>
      </w:pPr>
      <w:r w:rsidRPr="00666220">
        <w:rPr>
          <w:b/>
        </w:rPr>
        <w:t xml:space="preserve">HelpAge is disappointed that the </w:t>
      </w:r>
      <w:r w:rsidR="00945E77">
        <w:rPr>
          <w:b/>
        </w:rPr>
        <w:t>inclusive approach of the Sendai F</w:t>
      </w:r>
      <w:r w:rsidRPr="00666220">
        <w:rPr>
          <w:b/>
        </w:rPr>
        <w:t xml:space="preserve">ramework has not translated into the human resilience targets of the SDGs, </w:t>
      </w:r>
      <w:r w:rsidR="00945E77">
        <w:rPr>
          <w:b/>
        </w:rPr>
        <w:t xml:space="preserve">and </w:t>
      </w:r>
      <w:r w:rsidRPr="00666220">
        <w:rPr>
          <w:b/>
        </w:rPr>
        <w:t>we will campaign for older people and ageing to be inc</w:t>
      </w:r>
      <w:r w:rsidR="00FD5B7F">
        <w:rPr>
          <w:b/>
        </w:rPr>
        <w:t xml:space="preserve">luded </w:t>
      </w:r>
      <w:r w:rsidR="00945E77">
        <w:rPr>
          <w:b/>
        </w:rPr>
        <w:t>in its implementation</w:t>
      </w:r>
    </w:p>
    <w:p w:rsidR="00C46259" w:rsidRPr="00666220" w:rsidRDefault="00C46259" w:rsidP="007F2BD4">
      <w:pPr>
        <w:pStyle w:val="ListParagraph"/>
        <w:spacing w:after="120"/>
        <w:ind w:left="0"/>
        <w:rPr>
          <w:b/>
        </w:rPr>
      </w:pPr>
    </w:p>
    <w:p w:rsidR="007B0971" w:rsidRDefault="001D1600" w:rsidP="007F2BD4">
      <w:pPr>
        <w:pStyle w:val="ListParagraph"/>
        <w:numPr>
          <w:ilvl w:val="0"/>
          <w:numId w:val="11"/>
        </w:numPr>
        <w:spacing w:after="120"/>
        <w:ind w:left="0"/>
        <w:rPr>
          <w:b/>
        </w:rPr>
      </w:pPr>
      <w:r w:rsidRPr="007B0971">
        <w:rPr>
          <w:b/>
        </w:rPr>
        <w:t>Target</w:t>
      </w:r>
      <w:r w:rsidR="00125C28" w:rsidRPr="007B0971">
        <w:rPr>
          <w:b/>
        </w:rPr>
        <w:t xml:space="preserve">s on </w:t>
      </w:r>
      <w:r w:rsidR="00014EDD" w:rsidRPr="007B0971">
        <w:rPr>
          <w:b/>
        </w:rPr>
        <w:t xml:space="preserve">ending malnutrition, supporting NCDs and mental health and tackling violence against women, </w:t>
      </w:r>
      <w:r w:rsidR="00125C28" w:rsidRPr="007B0971">
        <w:rPr>
          <w:b/>
        </w:rPr>
        <w:t>must take into account humanitarian situations</w:t>
      </w:r>
    </w:p>
    <w:p w:rsidR="007B0971" w:rsidRDefault="007B0971" w:rsidP="007F2BD4">
      <w:pPr>
        <w:pStyle w:val="ListParagraph"/>
        <w:spacing w:after="120"/>
        <w:ind w:left="0"/>
        <w:rPr>
          <w:b/>
        </w:rPr>
      </w:pPr>
    </w:p>
    <w:p w:rsidR="003705F4" w:rsidRPr="00EE5854" w:rsidRDefault="007B0971" w:rsidP="007F2BD4">
      <w:pPr>
        <w:pStyle w:val="ListParagraph"/>
        <w:numPr>
          <w:ilvl w:val="0"/>
          <w:numId w:val="11"/>
        </w:numPr>
        <w:spacing w:after="120"/>
        <w:ind w:left="0"/>
        <w:rPr>
          <w:b/>
        </w:rPr>
      </w:pPr>
      <w:r>
        <w:rPr>
          <w:b/>
        </w:rPr>
        <w:t xml:space="preserve">We must </w:t>
      </w:r>
      <w:r w:rsidR="003705F4">
        <w:rPr>
          <w:b/>
        </w:rPr>
        <w:t>highlight the incidence and address the causes of</w:t>
      </w:r>
      <w:r w:rsidR="00DD51B2" w:rsidRPr="007B0971">
        <w:rPr>
          <w:b/>
        </w:rPr>
        <w:t xml:space="preserve"> violence against </w:t>
      </w:r>
      <w:r w:rsidR="003705F4">
        <w:rPr>
          <w:b/>
        </w:rPr>
        <w:t>older people</w:t>
      </w:r>
      <w:r w:rsidR="00925115">
        <w:rPr>
          <w:b/>
        </w:rPr>
        <w:t xml:space="preserve"> </w:t>
      </w:r>
      <w:r w:rsidR="003705F4">
        <w:rPr>
          <w:b/>
        </w:rPr>
        <w:t>i</w:t>
      </w:r>
      <w:r w:rsidR="00DD51B2" w:rsidRPr="007B0971">
        <w:rPr>
          <w:b/>
        </w:rPr>
        <w:t>n conflict situations</w:t>
      </w:r>
    </w:p>
    <w:p w:rsidR="00824DB6" w:rsidRDefault="00862525" w:rsidP="007F2BD4">
      <w:pPr>
        <w:spacing w:after="120"/>
        <w:ind w:left="0"/>
        <w:outlineLvl w:val="0"/>
      </w:pPr>
      <w:r w:rsidRPr="00862525">
        <w:t xml:space="preserve">The SDGs are aimed at supporting longer term global sustainable development and are not intended to act as a humanitarian framework. However, they are partly about reducing risk and increasing resilience. It would strengthen local coping capacities, reduce the impact of emergencies and levels of need, support national institutions to respond better to emergencies and build national and international </w:t>
      </w:r>
      <w:r w:rsidR="009700A3">
        <w:t>a</w:t>
      </w:r>
      <w:r w:rsidRPr="00862525">
        <w:t xml:space="preserve">wareness, knowledge and capacity on ageing with </w:t>
      </w:r>
      <w:r w:rsidR="007C0913">
        <w:t>potential positive consequences</w:t>
      </w:r>
      <w:r w:rsidR="00BA2B71">
        <w:t xml:space="preserve"> </w:t>
      </w:r>
      <w:r w:rsidRPr="00862525">
        <w:t>for humanitarian response.</w:t>
      </w:r>
    </w:p>
    <w:p w:rsidR="00E73E08" w:rsidRPr="00E73E08" w:rsidRDefault="00E73E08" w:rsidP="007F2BD4">
      <w:pPr>
        <w:spacing w:after="120"/>
        <w:ind w:left="0"/>
        <w:outlineLvl w:val="0"/>
      </w:pPr>
      <w:r w:rsidRPr="00E73E08">
        <w:t xml:space="preserve">The SDG framework should reflect the protection of people of all ages from disaster and increasing risks, </w:t>
      </w:r>
      <w:r>
        <w:t xml:space="preserve">treating it </w:t>
      </w:r>
      <w:r w:rsidRPr="00E73E08">
        <w:t>as a</w:t>
      </w:r>
      <w:r>
        <w:t>n issue of</w:t>
      </w:r>
      <w:r w:rsidRPr="00E73E08">
        <w:t xml:space="preserve"> rights. The SDG framework commits to ensuring consistency with international law rules and commitments, </w:t>
      </w:r>
      <w:r w:rsidR="007F50E9">
        <w:t>including</w:t>
      </w:r>
      <w:r w:rsidRPr="00E73E08">
        <w:t xml:space="preserve"> international humanitarian law and principles</w:t>
      </w:r>
      <w:r w:rsidR="00502FE8">
        <w:t>,</w:t>
      </w:r>
      <w:r w:rsidRPr="00E73E08">
        <w:t xml:space="preserve"> and the Sendai Framework for </w:t>
      </w:r>
      <w:r w:rsidR="00791B36">
        <w:t>Disaster Risk Reduction.</w:t>
      </w:r>
      <w:r w:rsidRPr="00E73E08">
        <w:t xml:space="preserve"> Humanitarian crises and complex emergencies are referred to, containing the pledge to ‘leave no-one behind’, also a key objective of the 2016 World Humanitarian Summit and a firm commitment within the Sendai Framework, specifically identifying the inclusion of older people as a key stakeholder. While no single SDG addresses </w:t>
      </w:r>
      <w:r w:rsidR="00834A48">
        <w:t xml:space="preserve">either </w:t>
      </w:r>
      <w:r w:rsidRPr="00E73E08">
        <w:t xml:space="preserve">humanitarian aid </w:t>
      </w:r>
      <w:r w:rsidR="00834A48">
        <w:t>or</w:t>
      </w:r>
      <w:r w:rsidRPr="00E73E08">
        <w:t xml:space="preserve"> wider disaster management, some goals and targets are relevant</w:t>
      </w:r>
      <w:r w:rsidR="00121124">
        <w:t xml:space="preserve">, but even these </w:t>
      </w:r>
      <w:r w:rsidRPr="00E73E08">
        <w:t xml:space="preserve">do not </w:t>
      </w:r>
      <w:r w:rsidR="00121124">
        <w:t xml:space="preserve">relate </w:t>
      </w:r>
      <w:r w:rsidRPr="00E73E08">
        <w:t xml:space="preserve">directly to </w:t>
      </w:r>
      <w:r w:rsidR="00121124">
        <w:t xml:space="preserve">the </w:t>
      </w:r>
      <w:r w:rsidRPr="00E73E08">
        <w:t xml:space="preserve">humanitarian and DRR </w:t>
      </w:r>
      <w:r w:rsidR="00F5544E">
        <w:t>objectives</w:t>
      </w:r>
      <w:r w:rsidRPr="00E73E08">
        <w:t xml:space="preserve"> of </w:t>
      </w:r>
      <w:r w:rsidR="00F5544E">
        <w:t>the HelpAge network</w:t>
      </w:r>
      <w:r w:rsidR="00ED5E72">
        <w:t>. B</w:t>
      </w:r>
      <w:r w:rsidRPr="00E73E08">
        <w:t xml:space="preserve">oth the SDGs and </w:t>
      </w:r>
      <w:r w:rsidR="001B0DBB">
        <w:t>the approach of the HelpAge network</w:t>
      </w:r>
      <w:r w:rsidRPr="00E73E08">
        <w:t xml:space="preserve"> </w:t>
      </w:r>
      <w:r w:rsidR="00B16AF8">
        <w:t xml:space="preserve">aim to mainstream </w:t>
      </w:r>
      <w:r w:rsidRPr="00E73E08">
        <w:t xml:space="preserve">risk and disasters </w:t>
      </w:r>
      <w:r w:rsidR="00B16AF8">
        <w:t>in wider development efforts</w:t>
      </w:r>
      <w:r w:rsidRPr="00E73E08">
        <w:t xml:space="preserve">. For example, ending malnutrition, tackling NCDs, mental health and violence against women all link to protection and risk reduction. However </w:t>
      </w:r>
      <w:r w:rsidR="00ED5E72">
        <w:t xml:space="preserve">we need to commit </w:t>
      </w:r>
      <w:r w:rsidR="00845525">
        <w:t xml:space="preserve">to </w:t>
      </w:r>
      <w:r w:rsidR="001B0DBB">
        <w:t>p</w:t>
      </w:r>
      <w:r w:rsidR="00845525">
        <w:t xml:space="preserve">ut </w:t>
      </w:r>
      <w:r w:rsidRPr="00E73E08">
        <w:t>th</w:t>
      </w:r>
      <w:r w:rsidR="00FF50CF">
        <w:t xml:space="preserve">ese principles </w:t>
      </w:r>
      <w:r w:rsidR="00872902">
        <w:t>in</w:t>
      </w:r>
      <w:r w:rsidR="00845525">
        <w:t>to</w:t>
      </w:r>
      <w:r w:rsidR="00872902">
        <w:t xml:space="preserve"> practice, </w:t>
      </w:r>
      <w:r w:rsidR="00FF50CF" w:rsidRPr="00FF50CF">
        <w:t xml:space="preserve">both within the SDG framework and </w:t>
      </w:r>
      <w:r w:rsidR="001B0DBB">
        <w:t xml:space="preserve">in </w:t>
      </w:r>
      <w:r w:rsidR="00FF50CF" w:rsidRPr="00FF50CF">
        <w:t xml:space="preserve">our own </w:t>
      </w:r>
      <w:r w:rsidR="001B0DBB">
        <w:t>actions</w:t>
      </w:r>
      <w:r w:rsidRPr="00E73E08">
        <w:t xml:space="preserve">. </w:t>
      </w:r>
    </w:p>
    <w:p w:rsidR="00E73E08" w:rsidRPr="00E73E08" w:rsidRDefault="00E73E08" w:rsidP="007F2BD4">
      <w:pPr>
        <w:spacing w:after="120"/>
        <w:ind w:left="0"/>
        <w:outlineLvl w:val="0"/>
        <w:rPr>
          <w:b/>
        </w:rPr>
      </w:pPr>
      <w:r w:rsidRPr="00E73E08">
        <w:t xml:space="preserve">Most of the </w:t>
      </w:r>
      <w:r w:rsidR="008B5744" w:rsidRPr="008B5744">
        <w:t xml:space="preserve">SDGs </w:t>
      </w:r>
      <w:r w:rsidR="008B5744">
        <w:t xml:space="preserve">relating to </w:t>
      </w:r>
      <w:r w:rsidR="008B5744" w:rsidRPr="008B5744">
        <w:t>D</w:t>
      </w:r>
      <w:r w:rsidR="008B5744">
        <w:t>RR, resilience and humanitarian r</w:t>
      </w:r>
      <w:r w:rsidR="008B5744" w:rsidRPr="008B5744">
        <w:t>esponse</w:t>
      </w:r>
      <w:r w:rsidRPr="00E73E08">
        <w:t xml:space="preserve"> do not </w:t>
      </w:r>
      <w:r w:rsidR="008B5744">
        <w:t>r</w:t>
      </w:r>
      <w:r w:rsidRPr="00E73E08">
        <w:t xml:space="preserve">efer specifically to older people, and challenges remain in ensuring age-inclusive implementation and monitoring of the SDGs. A number of SDGs and targets relevant to emergencies are </w:t>
      </w:r>
      <w:r w:rsidRPr="00E73E08">
        <w:lastRenderedPageBreak/>
        <w:t xml:space="preserve">institutional in nature. Achieving them should support reductions in disaster losses and in humanitarian need and more effective responses, in line with the objectives of the WHS and the Sendai Framework. This would support </w:t>
      </w:r>
      <w:r w:rsidR="001B0DBB">
        <w:t>our objectives</w:t>
      </w:r>
      <w:r w:rsidRPr="00E73E08">
        <w:t xml:space="preserve"> indirectly through positive impacts on the environments in which we are responding. </w:t>
      </w:r>
      <w:r w:rsidR="001B0DBB">
        <w:t xml:space="preserve">Despite the breadth </w:t>
      </w:r>
      <w:r w:rsidR="00792B5D">
        <w:t xml:space="preserve">and reach </w:t>
      </w:r>
      <w:r w:rsidR="001B0DBB">
        <w:t xml:space="preserve">of the </w:t>
      </w:r>
      <w:r w:rsidR="001B0DBB" w:rsidRPr="001B0DBB">
        <w:t>HelpAge network</w:t>
      </w:r>
      <w:r w:rsidR="001B0DBB">
        <w:t>, o</w:t>
      </w:r>
      <w:r w:rsidRPr="00E73E08">
        <w:t xml:space="preserve">ur </w:t>
      </w:r>
      <w:r w:rsidR="00F5544E">
        <w:t xml:space="preserve">collective </w:t>
      </w:r>
      <w:r w:rsidRPr="00E73E08">
        <w:t xml:space="preserve">capacity to engage on these broader issues is </w:t>
      </w:r>
      <w:r w:rsidR="00792B5D">
        <w:t xml:space="preserve">relatively </w:t>
      </w:r>
      <w:r w:rsidRPr="00E73E08">
        <w:t xml:space="preserve">limited, but we </w:t>
      </w:r>
      <w:r w:rsidR="00792B5D">
        <w:t>can</w:t>
      </w:r>
      <w:r w:rsidRPr="00E73E08">
        <w:t xml:space="preserve"> support advocacy by wider coalitions focusing on these issues where possible.</w:t>
      </w:r>
    </w:p>
    <w:p w:rsidR="004E6516" w:rsidRDefault="004E6516" w:rsidP="007F2BD4">
      <w:pPr>
        <w:spacing w:after="120"/>
        <w:rPr>
          <w:rFonts w:eastAsiaTheme="majorEastAsia" w:cstheme="majorBidi"/>
          <w:b/>
          <w:bCs/>
        </w:rPr>
      </w:pPr>
      <w:r>
        <w:br w:type="page"/>
      </w:r>
    </w:p>
    <w:p w:rsidR="00EF3AB1" w:rsidRDefault="000115D5" w:rsidP="007F2BD4">
      <w:pPr>
        <w:pStyle w:val="Heading1"/>
        <w:spacing w:before="0" w:after="120"/>
        <w:ind w:left="0"/>
        <w:rPr>
          <w:rFonts w:asciiTheme="minorHAnsi" w:hAnsiTheme="minorHAnsi"/>
          <w:color w:val="auto"/>
          <w:sz w:val="24"/>
          <w:szCs w:val="24"/>
        </w:rPr>
      </w:pPr>
      <w:r w:rsidRPr="00B360E1">
        <w:rPr>
          <w:rFonts w:asciiTheme="minorHAnsi" w:hAnsiTheme="minorHAnsi"/>
          <w:color w:val="auto"/>
          <w:sz w:val="24"/>
          <w:szCs w:val="24"/>
        </w:rPr>
        <w:lastRenderedPageBreak/>
        <w:t>U</w:t>
      </w:r>
      <w:r w:rsidR="00F40AF5" w:rsidRPr="00B360E1">
        <w:rPr>
          <w:rFonts w:asciiTheme="minorHAnsi" w:hAnsiTheme="minorHAnsi"/>
          <w:color w:val="auto"/>
          <w:sz w:val="24"/>
          <w:szCs w:val="24"/>
        </w:rPr>
        <w:t>rbanisation and older people</w:t>
      </w:r>
    </w:p>
    <w:p w:rsidR="00683B9B" w:rsidRPr="00683B9B" w:rsidRDefault="00683B9B" w:rsidP="007F2BD4">
      <w:pPr>
        <w:spacing w:after="120"/>
        <w:ind w:left="0"/>
        <w:rPr>
          <w:b/>
        </w:rPr>
      </w:pPr>
      <w:r w:rsidRPr="00683B9B">
        <w:rPr>
          <w:b/>
        </w:rPr>
        <w:t>What the SDGs say</w:t>
      </w:r>
    </w:p>
    <w:p w:rsidR="00EF3AB1" w:rsidRDefault="0081022A" w:rsidP="007F2BD4">
      <w:pPr>
        <w:spacing w:after="120"/>
        <w:ind w:left="0"/>
      </w:pPr>
      <w:proofErr w:type="gramStart"/>
      <w:r w:rsidRPr="00291665">
        <w:t>SDG</w:t>
      </w:r>
      <w:r w:rsidR="00E72667" w:rsidRPr="00291665">
        <w:t xml:space="preserve"> 11 </w:t>
      </w:r>
      <w:r w:rsidR="00EF3AB1" w:rsidRPr="00291665">
        <w:t xml:space="preserve">Make cities and human settlements inclusive, </w:t>
      </w:r>
      <w:r w:rsidR="00E72667" w:rsidRPr="00291665">
        <w:t>safe, resilient and sustainable</w:t>
      </w:r>
      <w:r w:rsidR="00EF3AB1" w:rsidRPr="00291665">
        <w:t>.</w:t>
      </w:r>
      <w:proofErr w:type="gramEnd"/>
    </w:p>
    <w:p w:rsidR="00291665" w:rsidRPr="00291665" w:rsidRDefault="00291665" w:rsidP="007F2BD4">
      <w:pPr>
        <w:spacing w:after="120"/>
        <w:ind w:left="0"/>
      </w:pPr>
    </w:p>
    <w:p w:rsidR="000115D5" w:rsidRDefault="0081022A" w:rsidP="007F2BD4">
      <w:pPr>
        <w:autoSpaceDE w:val="0"/>
        <w:autoSpaceDN w:val="0"/>
        <w:adjustRightInd w:val="0"/>
        <w:spacing w:after="120"/>
        <w:ind w:left="0"/>
        <w:rPr>
          <w:rFonts w:cs="TimesNewRoman"/>
        </w:rPr>
      </w:pPr>
      <w:r w:rsidRPr="00291665">
        <w:t xml:space="preserve">SDG </w:t>
      </w:r>
      <w:r w:rsidR="00EF3AB1" w:rsidRPr="00291665">
        <w:t xml:space="preserve">11.2 </w:t>
      </w:r>
      <w:r w:rsidR="00E72667" w:rsidRPr="00291665">
        <w:rPr>
          <w:rFonts w:cs="TimesNewRoman"/>
        </w:rPr>
        <w:t>By 2030, provide access to safe, affordable, accessible and sustainable</w:t>
      </w:r>
      <w:r w:rsidR="00BA2B71">
        <w:rPr>
          <w:rFonts w:cs="TimesNewRoman"/>
        </w:rPr>
        <w:t xml:space="preserve"> </w:t>
      </w:r>
      <w:r w:rsidR="00E72667" w:rsidRPr="00291665">
        <w:rPr>
          <w:rFonts w:cs="TimesNewRoman"/>
        </w:rPr>
        <w:t>transport systems for all, improving road safety, notably by expanding public</w:t>
      </w:r>
      <w:r w:rsidR="00BA2B71">
        <w:rPr>
          <w:rFonts w:cs="TimesNewRoman"/>
        </w:rPr>
        <w:t xml:space="preserve"> </w:t>
      </w:r>
      <w:r w:rsidR="00E72667" w:rsidRPr="00291665">
        <w:rPr>
          <w:rFonts w:cs="TimesNewRoman"/>
        </w:rPr>
        <w:t>transport, with special attention to the needs of those in vulnerable situations,</w:t>
      </w:r>
      <w:r w:rsidR="00BA2B71">
        <w:rPr>
          <w:rFonts w:cs="TimesNewRoman"/>
        </w:rPr>
        <w:t xml:space="preserve"> </w:t>
      </w:r>
      <w:r w:rsidR="00E72667" w:rsidRPr="00291665">
        <w:rPr>
          <w:rFonts w:cs="TimesNewRoman"/>
        </w:rPr>
        <w:t>women, children, persons with disabilities and older persons</w:t>
      </w:r>
      <w:r w:rsidR="00291665">
        <w:rPr>
          <w:rFonts w:cs="TimesNewRoman"/>
        </w:rPr>
        <w:t>.</w:t>
      </w:r>
    </w:p>
    <w:p w:rsidR="00291665" w:rsidRPr="00291665" w:rsidRDefault="00291665" w:rsidP="007F2BD4">
      <w:pPr>
        <w:autoSpaceDE w:val="0"/>
        <w:autoSpaceDN w:val="0"/>
        <w:adjustRightInd w:val="0"/>
        <w:spacing w:after="120"/>
        <w:ind w:left="0"/>
      </w:pPr>
    </w:p>
    <w:p w:rsidR="007B1D31" w:rsidRPr="00291665" w:rsidRDefault="0081022A" w:rsidP="007F2BD4">
      <w:pPr>
        <w:autoSpaceDE w:val="0"/>
        <w:autoSpaceDN w:val="0"/>
        <w:adjustRightInd w:val="0"/>
        <w:spacing w:after="120"/>
        <w:ind w:left="0"/>
      </w:pPr>
      <w:r w:rsidRPr="00291665">
        <w:t xml:space="preserve">SDG </w:t>
      </w:r>
      <w:r w:rsidR="00EF3AB1" w:rsidRPr="00291665">
        <w:t xml:space="preserve">11.7 </w:t>
      </w:r>
      <w:r w:rsidR="00E72667" w:rsidRPr="00291665">
        <w:rPr>
          <w:rFonts w:cs="TimesNewRoman"/>
        </w:rPr>
        <w:t>By 2030, provide universal access to safe, inclusive and accessible, green and</w:t>
      </w:r>
      <w:r w:rsidR="00BA2B71">
        <w:rPr>
          <w:rFonts w:cs="TimesNewRoman"/>
        </w:rPr>
        <w:t xml:space="preserve"> </w:t>
      </w:r>
      <w:r w:rsidR="00E72667" w:rsidRPr="00291665">
        <w:rPr>
          <w:rFonts w:cs="TimesNewRoman"/>
        </w:rPr>
        <w:t>public spaces, in particular for women and children, older persons and persons with</w:t>
      </w:r>
      <w:r w:rsidR="00BA2B71">
        <w:rPr>
          <w:rFonts w:cs="TimesNewRoman"/>
        </w:rPr>
        <w:t xml:space="preserve"> </w:t>
      </w:r>
      <w:r w:rsidR="00E72667" w:rsidRPr="00291665">
        <w:rPr>
          <w:rFonts w:cs="TimesNewRoman"/>
        </w:rPr>
        <w:t>disabilities</w:t>
      </w:r>
      <w:r w:rsidR="00291665" w:rsidRPr="00291665">
        <w:rPr>
          <w:rFonts w:cs="TimesNewRoman"/>
        </w:rPr>
        <w:t>.</w:t>
      </w:r>
    </w:p>
    <w:p w:rsidR="00291665" w:rsidRDefault="00291665" w:rsidP="007F2BD4">
      <w:pPr>
        <w:pStyle w:val="Heading3"/>
        <w:spacing w:before="0" w:after="120"/>
        <w:ind w:left="0"/>
        <w:rPr>
          <w:rFonts w:asciiTheme="minorHAnsi" w:hAnsiTheme="minorHAnsi"/>
          <w:color w:val="auto"/>
        </w:rPr>
      </w:pPr>
    </w:p>
    <w:p w:rsidR="00822CFC" w:rsidRPr="00291665" w:rsidRDefault="00822CFC" w:rsidP="00822CFC">
      <w:pPr>
        <w:autoSpaceDE w:val="0"/>
        <w:autoSpaceDN w:val="0"/>
        <w:adjustRightInd w:val="0"/>
        <w:ind w:left="0"/>
      </w:pPr>
      <w:r w:rsidRPr="00291665">
        <w:t xml:space="preserve">SDG 11.7 </w:t>
      </w:r>
      <w:r w:rsidRPr="00291665">
        <w:rPr>
          <w:rFonts w:cs="TimesNewRoman"/>
        </w:rPr>
        <w:t>By 2030, provide universal access to safe, inclusive and accessible, green and</w:t>
      </w:r>
      <w:r>
        <w:rPr>
          <w:rFonts w:cs="TimesNewRoman"/>
        </w:rPr>
        <w:t xml:space="preserve"> </w:t>
      </w:r>
      <w:r w:rsidRPr="00291665">
        <w:rPr>
          <w:rFonts w:cs="TimesNewRoman"/>
        </w:rPr>
        <w:t>public spaces, in particular for women and children, older persons and persons with</w:t>
      </w:r>
      <w:r>
        <w:rPr>
          <w:rFonts w:cs="TimesNewRoman"/>
        </w:rPr>
        <w:t xml:space="preserve"> </w:t>
      </w:r>
      <w:r w:rsidRPr="00291665">
        <w:rPr>
          <w:rFonts w:cs="TimesNewRoman"/>
        </w:rPr>
        <w:t>disabilities.</w:t>
      </w:r>
    </w:p>
    <w:p w:rsidR="00822CFC" w:rsidRDefault="00822CFC" w:rsidP="00822CFC">
      <w:pPr>
        <w:pStyle w:val="Heading3"/>
        <w:spacing w:before="0" w:after="240"/>
        <w:ind w:left="0"/>
        <w:rPr>
          <w:rFonts w:asciiTheme="minorHAnsi" w:hAnsiTheme="minorHAnsi"/>
          <w:color w:val="auto"/>
        </w:rPr>
      </w:pPr>
    </w:p>
    <w:p w:rsidR="00822CFC" w:rsidRPr="002B4E7F" w:rsidRDefault="00822CFC" w:rsidP="00822CFC">
      <w:pPr>
        <w:pStyle w:val="Heading3"/>
        <w:spacing w:before="0" w:after="240"/>
        <w:ind w:left="0"/>
        <w:rPr>
          <w:rFonts w:asciiTheme="minorHAnsi" w:hAnsiTheme="minorHAnsi"/>
          <w:color w:val="auto"/>
        </w:rPr>
      </w:pPr>
      <w:proofErr w:type="spellStart"/>
      <w:r w:rsidRPr="002B4E7F">
        <w:rPr>
          <w:rFonts w:asciiTheme="minorHAnsi" w:hAnsiTheme="minorHAnsi"/>
          <w:color w:val="auto"/>
        </w:rPr>
        <w:t>HelpAge’s</w:t>
      </w:r>
      <w:proofErr w:type="spellEnd"/>
      <w:r w:rsidRPr="002B4E7F">
        <w:rPr>
          <w:rFonts w:asciiTheme="minorHAnsi" w:hAnsiTheme="minorHAnsi"/>
          <w:color w:val="auto"/>
        </w:rPr>
        <w:t xml:space="preserve"> position</w:t>
      </w:r>
    </w:p>
    <w:p w:rsidR="00822CFC" w:rsidRDefault="00822CFC" w:rsidP="00822CFC">
      <w:pPr>
        <w:pStyle w:val="Heading3"/>
        <w:numPr>
          <w:ilvl w:val="0"/>
          <w:numId w:val="9"/>
        </w:numPr>
        <w:spacing w:before="0" w:after="240"/>
        <w:ind w:left="0" w:hanging="357"/>
        <w:rPr>
          <w:rFonts w:asciiTheme="minorHAnsi" w:hAnsiTheme="minorHAnsi"/>
          <w:color w:val="auto"/>
        </w:rPr>
      </w:pPr>
      <w:r w:rsidRPr="002B4E7F">
        <w:rPr>
          <w:rFonts w:asciiTheme="minorHAnsi" w:hAnsiTheme="minorHAnsi"/>
          <w:color w:val="auto"/>
        </w:rPr>
        <w:t>Ensuring that older people have a say in urban planning initiatives is vital to the achievement of the commitment to leave no one behind.</w:t>
      </w:r>
    </w:p>
    <w:p w:rsidR="00822CFC" w:rsidRDefault="00822CFC" w:rsidP="00822CFC">
      <w:pPr>
        <w:pStyle w:val="ListParagraph"/>
        <w:numPr>
          <w:ilvl w:val="0"/>
          <w:numId w:val="9"/>
        </w:numPr>
        <w:shd w:val="clear" w:color="auto" w:fill="FFFFFF"/>
        <w:ind w:left="0"/>
        <w:rPr>
          <w:rFonts w:eastAsia="Times New Roman" w:cs="Segoe UI"/>
          <w:b/>
          <w:color w:val="212121"/>
          <w:lang w:eastAsia="en-GB"/>
        </w:rPr>
      </w:pPr>
      <w:r>
        <w:rPr>
          <w:rFonts w:eastAsia="Times New Roman" w:cs="Segoe UI"/>
          <w:b/>
          <w:color w:val="212121"/>
          <w:lang w:eastAsia="en-GB"/>
        </w:rPr>
        <w:t xml:space="preserve">Urban planning should </w:t>
      </w:r>
      <w:r w:rsidRPr="00BB24E5">
        <w:rPr>
          <w:rFonts w:eastAsia="Times New Roman" w:cs="Segoe UI"/>
          <w:b/>
          <w:color w:val="212121"/>
          <w:lang w:eastAsia="en-GB"/>
        </w:rPr>
        <w:t xml:space="preserve">support the creation of spaces and communities that are welcoming, </w:t>
      </w:r>
      <w:proofErr w:type="spellStart"/>
      <w:r w:rsidRPr="00BB24E5">
        <w:rPr>
          <w:rFonts w:eastAsia="Times New Roman" w:cs="Segoe UI"/>
          <w:b/>
          <w:color w:val="212121"/>
          <w:lang w:eastAsia="en-GB"/>
        </w:rPr>
        <w:t>walkable</w:t>
      </w:r>
      <w:proofErr w:type="spellEnd"/>
      <w:r w:rsidRPr="00BB24E5">
        <w:rPr>
          <w:rFonts w:eastAsia="Times New Roman" w:cs="Segoe UI"/>
          <w:b/>
          <w:color w:val="212121"/>
          <w:lang w:eastAsia="en-GB"/>
        </w:rPr>
        <w:t>, dense and mixed use, well maintained and designed and that feel safe and secure at all times</w:t>
      </w:r>
    </w:p>
    <w:p w:rsidR="00822CFC" w:rsidRPr="00BB24E5" w:rsidRDefault="00822CFC" w:rsidP="00822CFC">
      <w:pPr>
        <w:pStyle w:val="ListParagraph"/>
        <w:shd w:val="clear" w:color="auto" w:fill="FFFFFF"/>
        <w:ind w:left="0"/>
        <w:rPr>
          <w:rFonts w:eastAsia="Times New Roman" w:cs="Segoe UI"/>
          <w:b/>
          <w:color w:val="212121"/>
          <w:lang w:eastAsia="en-GB"/>
        </w:rPr>
      </w:pPr>
    </w:p>
    <w:p w:rsidR="00822CFC" w:rsidRDefault="00822CFC" w:rsidP="00822CFC">
      <w:pPr>
        <w:pStyle w:val="ListParagraph"/>
        <w:numPr>
          <w:ilvl w:val="0"/>
          <w:numId w:val="9"/>
        </w:numPr>
        <w:shd w:val="clear" w:color="auto" w:fill="FFFFFF"/>
        <w:ind w:left="0"/>
        <w:rPr>
          <w:rFonts w:eastAsia="Times New Roman" w:cs="Segoe UI"/>
          <w:b/>
          <w:color w:val="212121"/>
          <w:lang w:eastAsia="en-GB"/>
        </w:rPr>
      </w:pPr>
      <w:r>
        <w:rPr>
          <w:rFonts w:eastAsia="Times New Roman" w:cs="Segoe UI"/>
          <w:b/>
          <w:color w:val="212121"/>
          <w:lang w:eastAsia="en-GB"/>
        </w:rPr>
        <w:t>S</w:t>
      </w:r>
      <w:r w:rsidRPr="00BB24E5">
        <w:rPr>
          <w:rFonts w:eastAsia="Times New Roman" w:cs="Segoe UI"/>
          <w:b/>
          <w:color w:val="212121"/>
          <w:lang w:eastAsia="en-GB"/>
        </w:rPr>
        <w:t>afe, affordable and acce</w:t>
      </w:r>
      <w:r>
        <w:rPr>
          <w:rFonts w:eastAsia="Times New Roman" w:cs="Segoe UI"/>
          <w:b/>
          <w:color w:val="212121"/>
          <w:lang w:eastAsia="en-GB"/>
        </w:rPr>
        <w:t>ssible public transport and non-</w:t>
      </w:r>
      <w:r w:rsidRPr="00BB24E5">
        <w:rPr>
          <w:rFonts w:eastAsia="Times New Roman" w:cs="Segoe UI"/>
          <w:b/>
          <w:color w:val="212121"/>
          <w:lang w:eastAsia="en-GB"/>
        </w:rPr>
        <w:t>motorised forms of travel such as walking and cycling </w:t>
      </w:r>
      <w:r w:rsidR="00AE7F42">
        <w:rPr>
          <w:rFonts w:eastAsia="Times New Roman" w:cs="Segoe UI"/>
          <w:b/>
          <w:color w:val="212121"/>
          <w:lang w:eastAsia="en-GB"/>
        </w:rPr>
        <w:t>are essential to the inclusion of older urban populations</w:t>
      </w:r>
    </w:p>
    <w:p w:rsidR="00822CFC" w:rsidRPr="00BB24E5" w:rsidRDefault="00822CFC" w:rsidP="00822CFC">
      <w:pPr>
        <w:pStyle w:val="ListParagraph"/>
        <w:shd w:val="clear" w:color="auto" w:fill="FFFFFF"/>
        <w:ind w:left="0"/>
        <w:rPr>
          <w:rFonts w:eastAsia="Times New Roman" w:cs="Segoe UI"/>
          <w:b/>
          <w:color w:val="212121"/>
          <w:lang w:eastAsia="en-GB"/>
        </w:rPr>
      </w:pPr>
    </w:p>
    <w:p w:rsidR="00822CFC" w:rsidRDefault="00822CFC" w:rsidP="00822CFC">
      <w:pPr>
        <w:pStyle w:val="ListParagraph"/>
        <w:numPr>
          <w:ilvl w:val="0"/>
          <w:numId w:val="9"/>
        </w:numPr>
        <w:shd w:val="clear" w:color="auto" w:fill="FFFFFF"/>
        <w:ind w:left="0"/>
        <w:rPr>
          <w:rFonts w:eastAsia="Times New Roman" w:cs="Segoe UI"/>
          <w:b/>
          <w:color w:val="212121"/>
          <w:lang w:eastAsia="en-GB"/>
        </w:rPr>
      </w:pPr>
      <w:r>
        <w:rPr>
          <w:rFonts w:eastAsia="Times New Roman" w:cs="Segoe UI"/>
          <w:b/>
          <w:color w:val="212121"/>
          <w:lang w:eastAsia="en-GB"/>
        </w:rPr>
        <w:t>L</w:t>
      </w:r>
      <w:r w:rsidRPr="00BB24E5">
        <w:rPr>
          <w:rFonts w:eastAsia="Times New Roman" w:cs="Segoe UI"/>
          <w:b/>
          <w:color w:val="212121"/>
          <w:lang w:eastAsia="en-GB"/>
        </w:rPr>
        <w:t xml:space="preserve">ivelihood opportunities available to older people in cities, particularly informal street based activities </w:t>
      </w:r>
      <w:r>
        <w:rPr>
          <w:rFonts w:eastAsia="Times New Roman" w:cs="Segoe UI"/>
          <w:b/>
          <w:color w:val="212121"/>
          <w:lang w:eastAsia="en-GB"/>
        </w:rPr>
        <w:t>should be p</w:t>
      </w:r>
      <w:r w:rsidRPr="00BB24E5">
        <w:rPr>
          <w:rFonts w:eastAsia="Times New Roman" w:cs="Segoe UI"/>
          <w:b/>
          <w:color w:val="212121"/>
          <w:lang w:eastAsia="en-GB"/>
        </w:rPr>
        <w:t>rotect</w:t>
      </w:r>
      <w:r>
        <w:rPr>
          <w:rFonts w:eastAsia="Times New Roman" w:cs="Segoe UI"/>
          <w:b/>
          <w:color w:val="212121"/>
          <w:lang w:eastAsia="en-GB"/>
        </w:rPr>
        <w:t>ed</w:t>
      </w:r>
      <w:r w:rsidRPr="00BB24E5">
        <w:rPr>
          <w:rFonts w:eastAsia="Times New Roman" w:cs="Segoe UI"/>
          <w:b/>
          <w:color w:val="212121"/>
          <w:lang w:eastAsia="en-GB"/>
        </w:rPr>
        <w:t xml:space="preserve"> and </w:t>
      </w:r>
      <w:r>
        <w:rPr>
          <w:rFonts w:eastAsia="Times New Roman" w:cs="Segoe UI"/>
          <w:b/>
          <w:color w:val="212121"/>
          <w:lang w:eastAsia="en-GB"/>
        </w:rPr>
        <w:t xml:space="preserve">promoted </w:t>
      </w:r>
    </w:p>
    <w:p w:rsidR="00822CFC" w:rsidRPr="00BB24E5" w:rsidRDefault="00822CFC" w:rsidP="00822CFC">
      <w:pPr>
        <w:pStyle w:val="ListParagraph"/>
        <w:shd w:val="clear" w:color="auto" w:fill="FFFFFF"/>
        <w:ind w:left="0"/>
        <w:rPr>
          <w:rFonts w:eastAsia="Times New Roman" w:cs="Segoe UI"/>
          <w:b/>
          <w:color w:val="212121"/>
          <w:lang w:eastAsia="en-GB"/>
        </w:rPr>
      </w:pPr>
    </w:p>
    <w:p w:rsidR="00822CFC" w:rsidRDefault="00822CFC" w:rsidP="00822CFC">
      <w:pPr>
        <w:pStyle w:val="ListParagraph"/>
        <w:numPr>
          <w:ilvl w:val="0"/>
          <w:numId w:val="9"/>
        </w:numPr>
        <w:shd w:val="clear" w:color="auto" w:fill="FFFFFF"/>
        <w:ind w:left="0"/>
        <w:rPr>
          <w:rFonts w:eastAsia="Times New Roman" w:cs="Segoe UI"/>
          <w:b/>
          <w:color w:val="212121"/>
          <w:lang w:eastAsia="en-GB"/>
        </w:rPr>
      </w:pPr>
      <w:r w:rsidRPr="00AA0232">
        <w:rPr>
          <w:rFonts w:eastAsia="Times New Roman" w:cs="Segoe UI"/>
          <w:b/>
          <w:color w:val="212121"/>
          <w:lang w:eastAsia="en-GB"/>
        </w:rPr>
        <w:t xml:space="preserve">The inclusion of older people in all city level disaster resilience and response planning and support to older displaced people is essential </w:t>
      </w:r>
    </w:p>
    <w:p w:rsidR="00822CFC" w:rsidRPr="00AA0232" w:rsidRDefault="00822CFC" w:rsidP="00822CFC">
      <w:pPr>
        <w:pStyle w:val="ListParagraph"/>
        <w:shd w:val="clear" w:color="auto" w:fill="FFFFFF"/>
        <w:ind w:left="0"/>
        <w:rPr>
          <w:rFonts w:eastAsia="Times New Roman" w:cs="Segoe UI"/>
          <w:b/>
          <w:color w:val="212121"/>
          <w:lang w:eastAsia="en-GB"/>
        </w:rPr>
      </w:pPr>
    </w:p>
    <w:p w:rsidR="00822CFC" w:rsidRDefault="00822CFC" w:rsidP="00822CFC">
      <w:pPr>
        <w:pStyle w:val="ListParagraph"/>
        <w:numPr>
          <w:ilvl w:val="0"/>
          <w:numId w:val="9"/>
        </w:numPr>
        <w:shd w:val="clear" w:color="auto" w:fill="FFFFFF"/>
        <w:ind w:left="0"/>
        <w:rPr>
          <w:rFonts w:eastAsia="Times New Roman" w:cs="Segoe UI"/>
          <w:b/>
          <w:color w:val="212121"/>
          <w:lang w:eastAsia="en-GB"/>
        </w:rPr>
      </w:pPr>
      <w:r>
        <w:rPr>
          <w:rFonts w:eastAsia="Times New Roman" w:cs="Segoe UI"/>
          <w:b/>
          <w:color w:val="212121"/>
          <w:lang w:eastAsia="en-GB"/>
        </w:rPr>
        <w:t>Efforts to r</w:t>
      </w:r>
      <w:r w:rsidRPr="00BB24E5">
        <w:rPr>
          <w:rFonts w:eastAsia="Times New Roman" w:cs="Segoe UI"/>
          <w:b/>
          <w:color w:val="212121"/>
          <w:lang w:eastAsia="en-GB"/>
        </w:rPr>
        <w:t>educe air pollution</w:t>
      </w:r>
      <w:r>
        <w:rPr>
          <w:rFonts w:eastAsia="Times New Roman" w:cs="Segoe UI"/>
          <w:b/>
          <w:color w:val="212121"/>
          <w:lang w:eastAsia="en-GB"/>
        </w:rPr>
        <w:t>,</w:t>
      </w:r>
      <w:r w:rsidRPr="00BB24E5">
        <w:rPr>
          <w:rFonts w:eastAsia="Times New Roman" w:cs="Segoe UI"/>
          <w:b/>
          <w:color w:val="212121"/>
          <w:lang w:eastAsia="en-GB"/>
        </w:rPr>
        <w:t xml:space="preserve"> </w:t>
      </w:r>
      <w:r>
        <w:rPr>
          <w:rFonts w:eastAsia="Times New Roman" w:cs="Segoe UI"/>
          <w:b/>
          <w:color w:val="212121"/>
          <w:lang w:eastAsia="en-GB"/>
        </w:rPr>
        <w:t>and to change</w:t>
      </w:r>
      <w:r w:rsidRPr="00BB24E5">
        <w:rPr>
          <w:rFonts w:eastAsia="Times New Roman" w:cs="Segoe UI"/>
          <w:b/>
          <w:color w:val="212121"/>
          <w:lang w:eastAsia="en-GB"/>
        </w:rPr>
        <w:t xml:space="preserve"> poor diets and sedentary lifestyles that lead to higher rates of NCDs </w:t>
      </w:r>
      <w:r>
        <w:rPr>
          <w:rFonts w:eastAsia="Times New Roman" w:cs="Segoe UI"/>
          <w:b/>
          <w:color w:val="212121"/>
          <w:lang w:eastAsia="en-GB"/>
        </w:rPr>
        <w:t xml:space="preserve">should be urban public health priorities </w:t>
      </w:r>
    </w:p>
    <w:p w:rsidR="00822CFC" w:rsidRPr="002B4E7F" w:rsidRDefault="00822CFC" w:rsidP="00822CFC">
      <w:pPr>
        <w:ind w:left="0"/>
      </w:pPr>
      <w:r w:rsidRPr="002B4E7F">
        <w:t>With nearly two out of three older people globally living in cities, and almost 300 million older people in cities in LAMICs, urbanisation has consequences for older people in terms of health, income security, resilience and collective social action to achieve political and social change. The SDGs call for inclusive urbanisation for all; this should enable older persons to have access to safe and affordable public transport, and enjoy secure, inclusive and accessible public spaces. To achieve this they must be able to participate in planning and decision making.</w:t>
      </w:r>
    </w:p>
    <w:p w:rsidR="00822CFC" w:rsidRDefault="00822CFC" w:rsidP="00822CFC">
      <w:pPr>
        <w:shd w:val="clear" w:color="auto" w:fill="FFFFFF"/>
        <w:ind w:left="0"/>
      </w:pPr>
      <w:r w:rsidRPr="002B4E7F">
        <w:t xml:space="preserve">Poverty in urban areas is complex and under-represented and assumptions around improved access to services and livelihood opportunities are </w:t>
      </w:r>
      <w:r>
        <w:t xml:space="preserve">often </w:t>
      </w:r>
      <w:r w:rsidRPr="002B4E7F">
        <w:t xml:space="preserve">misguided. Ensuring the delivery of the ‘Leave No One Behind’ agenda requires us to continue to emphasise the importance of cities that are inclusive, safe, resilient and sustainable for all people as they age. </w:t>
      </w:r>
    </w:p>
    <w:p w:rsidR="00822CFC" w:rsidRPr="00013C58" w:rsidRDefault="00822CFC" w:rsidP="00822CFC">
      <w:pPr>
        <w:shd w:val="clear" w:color="auto" w:fill="FFFFFF"/>
        <w:ind w:left="0"/>
        <w:rPr>
          <w:rFonts w:eastAsia="Times New Roman" w:cs="Times New Roman"/>
          <w:lang w:eastAsia="en-GB"/>
        </w:rPr>
      </w:pPr>
      <w:r w:rsidRPr="00013C58">
        <w:rPr>
          <w:rFonts w:eastAsia="Times New Roman" w:cs="Arial"/>
          <w:lang w:eastAsia="en-GB"/>
        </w:rPr>
        <w:t xml:space="preserve">Practical implementation of SDG 11 has been partly addressed by the New Urban Agenda </w:t>
      </w:r>
      <w:r>
        <w:rPr>
          <w:rFonts w:eastAsia="Times New Roman" w:cs="Arial"/>
          <w:lang w:eastAsia="en-GB"/>
        </w:rPr>
        <w:t xml:space="preserve">(NUA) </w:t>
      </w:r>
      <w:r w:rsidRPr="00013C58">
        <w:rPr>
          <w:rFonts w:eastAsia="Times New Roman" w:cs="Arial"/>
          <w:lang w:eastAsia="en-GB"/>
        </w:rPr>
        <w:t xml:space="preserve">agreed at the Habitat III conference (October 2016). With 27 references to ageing and older people (as a result of advocacy activities supported by HelpAge), the NUA strongly argues for the inclusion of older people in all stages of planning and decision making and demands age- and gender- responsive actions. It also highlights a number of policies and perspectives that more broadly protect and promote rights in older age in urban environments. However, both the NUA and the SDGs have serious gaps in relation to older people. For example, we are disappointed at the lack of attention paid by both the SDGs and </w:t>
      </w:r>
      <w:r w:rsidRPr="00013C58">
        <w:rPr>
          <w:rFonts w:eastAsia="Times New Roman" w:cs="Arial"/>
          <w:lang w:eastAsia="en-GB"/>
        </w:rPr>
        <w:lastRenderedPageBreak/>
        <w:t>the NUA to the impact of non-communicable disease in urban areas and the failure to highlight the impact of air pollution on health and mortality, an issue of particular concern for older people in cities. Furthermore, given the reality of poverty for many older city-dwellers, the limited l</w:t>
      </w:r>
      <w:r w:rsidRPr="00013C58">
        <w:rPr>
          <w:rFonts w:eastAsia="Times New Roman" w:cs="Segoe UI"/>
          <w:lang w:eastAsia="en-GB"/>
        </w:rPr>
        <w:t>ivelihood opportunities available to older people in cities, particularly informal street based activities</w:t>
      </w:r>
      <w:r>
        <w:rPr>
          <w:rFonts w:eastAsia="Times New Roman" w:cs="Segoe UI"/>
          <w:lang w:eastAsia="en-GB"/>
        </w:rPr>
        <w:t>, need to be better recognised and supported both by the SDGs and the NUA.</w:t>
      </w:r>
    </w:p>
    <w:p w:rsidR="00822CFC" w:rsidRPr="002B4E7F" w:rsidRDefault="00822CFC" w:rsidP="00822CFC">
      <w:pPr>
        <w:shd w:val="clear" w:color="auto" w:fill="FFFFFF"/>
        <w:ind w:left="0"/>
        <w:rPr>
          <w:rFonts w:eastAsia="Times New Roman" w:cs="Times New Roman"/>
          <w:lang w:eastAsia="en-GB"/>
        </w:rPr>
      </w:pPr>
      <w:r w:rsidRPr="002B4E7F">
        <w:rPr>
          <w:rFonts w:eastAsia="Times New Roman" w:cs="Arial"/>
          <w:lang w:eastAsia="en-GB"/>
        </w:rPr>
        <w:t>Alongside national governments, the NUA recognises the key role of local and city level governments in implementing change. Urban populations have greater political capital and influence to bring about progressive change that can then eventually lead to progress at the national level and the collective action potential of older urban populations should be harnessed. </w:t>
      </w:r>
    </w:p>
    <w:p w:rsidR="004E6516" w:rsidRDefault="004E6516" w:rsidP="007F2BD4">
      <w:pPr>
        <w:spacing w:after="120"/>
        <w:rPr>
          <w:rFonts w:eastAsiaTheme="majorEastAsia" w:cstheme="majorBidi"/>
          <w:b/>
          <w:bCs/>
        </w:rPr>
      </w:pPr>
      <w:r>
        <w:rPr>
          <w:rFonts w:eastAsiaTheme="majorEastAsia" w:cstheme="majorBidi"/>
          <w:b/>
          <w:bCs/>
        </w:rPr>
        <w:br w:type="page"/>
      </w:r>
    </w:p>
    <w:p w:rsidR="00E23A05" w:rsidRDefault="00D749E9" w:rsidP="007F2BD4">
      <w:pPr>
        <w:spacing w:after="120"/>
        <w:ind w:left="0"/>
        <w:rPr>
          <w:rFonts w:eastAsiaTheme="majorEastAsia" w:cstheme="majorBidi"/>
          <w:b/>
          <w:bCs/>
        </w:rPr>
      </w:pPr>
      <w:r>
        <w:rPr>
          <w:rFonts w:eastAsiaTheme="majorEastAsia" w:cstheme="majorBidi"/>
          <w:b/>
          <w:bCs/>
        </w:rPr>
        <w:lastRenderedPageBreak/>
        <w:t>Data that is fit for purpose</w:t>
      </w:r>
    </w:p>
    <w:p w:rsidR="000430F3" w:rsidRPr="00792B5D" w:rsidRDefault="00D749E9" w:rsidP="00792B5D">
      <w:pPr>
        <w:spacing w:after="120"/>
        <w:ind w:left="0"/>
        <w:rPr>
          <w:rFonts w:eastAsiaTheme="majorEastAsia" w:cstheme="majorBidi"/>
          <w:b/>
          <w:bCs/>
        </w:rPr>
      </w:pPr>
      <w:r>
        <w:rPr>
          <w:rFonts w:eastAsiaTheme="majorEastAsia" w:cstheme="majorBidi"/>
          <w:b/>
          <w:bCs/>
        </w:rPr>
        <w:t>What the SDGs say</w:t>
      </w:r>
    </w:p>
    <w:p w:rsidR="000430F3" w:rsidRPr="00845525" w:rsidRDefault="00D749E9" w:rsidP="007F2BD4">
      <w:pPr>
        <w:autoSpaceDE w:val="0"/>
        <w:autoSpaceDN w:val="0"/>
        <w:adjustRightInd w:val="0"/>
        <w:spacing w:after="120"/>
        <w:ind w:left="0"/>
        <w:rPr>
          <w:rFonts w:cs="TimesNewRoman"/>
        </w:rPr>
      </w:pPr>
      <w:r w:rsidRPr="000430F3">
        <w:rPr>
          <w:rFonts w:eastAsiaTheme="majorEastAsia" w:cstheme="majorBidi"/>
          <w:bCs/>
        </w:rPr>
        <w:t xml:space="preserve">SDG 17 </w:t>
      </w:r>
      <w:proofErr w:type="gramStart"/>
      <w:r w:rsidR="000430F3" w:rsidRPr="000430F3">
        <w:rPr>
          <w:rFonts w:cs="TimesNewRoman"/>
        </w:rPr>
        <w:t>Strengthen</w:t>
      </w:r>
      <w:proofErr w:type="gramEnd"/>
      <w:r w:rsidR="000430F3" w:rsidRPr="000430F3">
        <w:rPr>
          <w:rFonts w:cs="TimesNewRoman"/>
        </w:rPr>
        <w:t xml:space="preserve"> the means of implementation and revitalize the Global Partnership for Sustainable Development</w:t>
      </w:r>
      <w:r w:rsidR="000430F3">
        <w:rPr>
          <w:rFonts w:cs="TimesNewRoman"/>
        </w:rPr>
        <w:t>.</w:t>
      </w:r>
    </w:p>
    <w:p w:rsidR="007B1D31" w:rsidRPr="00BC2D58" w:rsidRDefault="00D749E9" w:rsidP="007F2BD4">
      <w:pPr>
        <w:autoSpaceDE w:val="0"/>
        <w:autoSpaceDN w:val="0"/>
        <w:adjustRightInd w:val="0"/>
        <w:spacing w:after="120"/>
        <w:ind w:left="0"/>
        <w:rPr>
          <w:rFonts w:eastAsiaTheme="majorEastAsia" w:cstheme="majorBidi"/>
          <w:b/>
          <w:bCs/>
        </w:rPr>
      </w:pPr>
      <w:r w:rsidRPr="00BC2D58">
        <w:rPr>
          <w:rFonts w:eastAsiaTheme="majorEastAsia" w:cstheme="majorBidi"/>
          <w:bCs/>
        </w:rPr>
        <w:t xml:space="preserve">Target 17.18 </w:t>
      </w:r>
      <w:r w:rsidR="00BC2D58" w:rsidRPr="00BC2D58">
        <w:rPr>
          <w:rFonts w:cs="TimesNewRoman"/>
        </w:rPr>
        <w:t>By 2020, enhance capacity-building support to developing countries,</w:t>
      </w:r>
      <w:r w:rsidR="00BA2B71">
        <w:rPr>
          <w:rFonts w:cs="TimesNewRoman"/>
        </w:rPr>
        <w:t xml:space="preserve"> </w:t>
      </w:r>
      <w:r w:rsidR="00BC2D58" w:rsidRPr="00BC2D58">
        <w:rPr>
          <w:rFonts w:cs="TimesNewRoman"/>
        </w:rPr>
        <w:t>including for least developed countries and small island developing States, to</w:t>
      </w:r>
      <w:r w:rsidR="00BA2B71">
        <w:rPr>
          <w:rFonts w:cs="TimesNewRoman"/>
        </w:rPr>
        <w:t xml:space="preserve"> </w:t>
      </w:r>
      <w:r w:rsidR="00BC2D58" w:rsidRPr="00BC2D58">
        <w:rPr>
          <w:rFonts w:cs="TimesNewRoman"/>
        </w:rPr>
        <w:t>increase significantly the availability of high-quality, timely and reliable data</w:t>
      </w:r>
      <w:r w:rsidR="00BA2B71">
        <w:rPr>
          <w:rFonts w:cs="TimesNewRoman"/>
        </w:rPr>
        <w:t xml:space="preserve"> </w:t>
      </w:r>
      <w:r w:rsidR="00BC2D58" w:rsidRPr="00BC2D58">
        <w:rPr>
          <w:rFonts w:cs="TimesNewRoman"/>
        </w:rPr>
        <w:t>disaggregated by income, gender, age, race, ethnicity, migratory status, disability,</w:t>
      </w:r>
      <w:r w:rsidR="00BA2B71">
        <w:rPr>
          <w:rFonts w:cs="TimesNewRoman"/>
        </w:rPr>
        <w:t xml:space="preserve"> </w:t>
      </w:r>
      <w:r w:rsidR="00BC2D58" w:rsidRPr="00BC2D58">
        <w:rPr>
          <w:rFonts w:cs="TimesNewRoman"/>
        </w:rPr>
        <w:t>geographic location and other characteristics relevant in national contexts</w:t>
      </w:r>
      <w:r w:rsidR="00BC2D58">
        <w:rPr>
          <w:rFonts w:cs="TimesNewRoman"/>
        </w:rPr>
        <w:t>.</w:t>
      </w:r>
    </w:p>
    <w:p w:rsidR="00BC2D58" w:rsidRDefault="00BC2D58" w:rsidP="007F2BD4">
      <w:pPr>
        <w:spacing w:after="120"/>
        <w:ind w:left="0"/>
        <w:rPr>
          <w:rFonts w:eastAsiaTheme="majorEastAsia" w:cstheme="majorBidi"/>
          <w:b/>
          <w:bCs/>
        </w:rPr>
      </w:pPr>
    </w:p>
    <w:p w:rsidR="00D749E9" w:rsidRPr="00D749E9" w:rsidRDefault="00D749E9" w:rsidP="007F2BD4">
      <w:pPr>
        <w:spacing w:after="120"/>
        <w:ind w:left="0"/>
        <w:rPr>
          <w:rFonts w:eastAsiaTheme="majorEastAsia" w:cstheme="majorBidi"/>
          <w:b/>
          <w:bCs/>
        </w:rPr>
      </w:pPr>
      <w:proofErr w:type="spellStart"/>
      <w:r>
        <w:rPr>
          <w:rFonts w:eastAsiaTheme="majorEastAsia" w:cstheme="majorBidi"/>
          <w:b/>
          <w:bCs/>
        </w:rPr>
        <w:t>HelpAge’s</w:t>
      </w:r>
      <w:proofErr w:type="spellEnd"/>
      <w:r>
        <w:rPr>
          <w:rFonts w:eastAsiaTheme="majorEastAsia" w:cstheme="majorBidi"/>
          <w:b/>
          <w:bCs/>
        </w:rPr>
        <w:t xml:space="preserve"> Position</w:t>
      </w:r>
    </w:p>
    <w:p w:rsidR="00F057DD" w:rsidRDefault="00B7005B" w:rsidP="007F2BD4">
      <w:pPr>
        <w:pStyle w:val="ListParagraph"/>
        <w:numPr>
          <w:ilvl w:val="0"/>
          <w:numId w:val="9"/>
        </w:numPr>
        <w:spacing w:after="120"/>
        <w:ind w:left="0"/>
        <w:rPr>
          <w:rFonts w:eastAsiaTheme="majorEastAsia" w:cstheme="majorBidi"/>
          <w:b/>
          <w:bCs/>
        </w:rPr>
      </w:pPr>
      <w:r>
        <w:rPr>
          <w:rFonts w:eastAsiaTheme="majorEastAsia" w:cstheme="majorBidi"/>
          <w:b/>
          <w:bCs/>
        </w:rPr>
        <w:t>Data gaps must be addressed in order to</w:t>
      </w:r>
      <w:r w:rsidR="008D1618" w:rsidRPr="00F057DD">
        <w:rPr>
          <w:rFonts w:eastAsiaTheme="majorEastAsia" w:cstheme="majorBidi"/>
          <w:b/>
          <w:bCs/>
        </w:rPr>
        <w:t xml:space="preserve"> measure the </w:t>
      </w:r>
      <w:r w:rsidR="003A3257">
        <w:rPr>
          <w:rFonts w:eastAsiaTheme="majorEastAsia" w:cstheme="majorBidi"/>
          <w:b/>
          <w:bCs/>
        </w:rPr>
        <w:t xml:space="preserve">impact of the SDGs for </w:t>
      </w:r>
      <w:r w:rsidR="008D1618" w:rsidRPr="00F057DD">
        <w:rPr>
          <w:rFonts w:eastAsiaTheme="majorEastAsia" w:cstheme="majorBidi"/>
          <w:b/>
          <w:bCs/>
        </w:rPr>
        <w:t>older people</w:t>
      </w:r>
    </w:p>
    <w:p w:rsidR="00F057DD" w:rsidRDefault="00F057DD" w:rsidP="007F2BD4">
      <w:pPr>
        <w:pStyle w:val="ListParagraph"/>
        <w:spacing w:after="120"/>
        <w:ind w:left="0"/>
        <w:rPr>
          <w:rFonts w:eastAsiaTheme="majorEastAsia" w:cstheme="majorBidi"/>
          <w:b/>
          <w:bCs/>
        </w:rPr>
      </w:pPr>
    </w:p>
    <w:p w:rsidR="00D42B83" w:rsidRPr="00F057DD" w:rsidRDefault="00F057DD" w:rsidP="007F2BD4">
      <w:pPr>
        <w:pStyle w:val="ListParagraph"/>
        <w:numPr>
          <w:ilvl w:val="0"/>
          <w:numId w:val="9"/>
        </w:numPr>
        <w:spacing w:after="120"/>
        <w:ind w:left="0"/>
        <w:rPr>
          <w:rFonts w:eastAsiaTheme="majorEastAsia" w:cstheme="majorBidi"/>
          <w:b/>
          <w:bCs/>
        </w:rPr>
      </w:pPr>
      <w:r>
        <w:rPr>
          <w:rFonts w:eastAsiaTheme="majorEastAsia" w:cstheme="majorBidi"/>
          <w:b/>
          <w:bCs/>
        </w:rPr>
        <w:t>U</w:t>
      </w:r>
      <w:r w:rsidR="00E251CC" w:rsidRPr="00F057DD">
        <w:rPr>
          <w:rFonts w:eastAsiaTheme="majorEastAsia" w:cstheme="majorBidi"/>
          <w:b/>
          <w:bCs/>
        </w:rPr>
        <w:t xml:space="preserve">pper age limits which exclude older people </w:t>
      </w:r>
      <w:r>
        <w:rPr>
          <w:rFonts w:eastAsiaTheme="majorEastAsia" w:cstheme="majorBidi"/>
          <w:b/>
          <w:bCs/>
        </w:rPr>
        <w:t xml:space="preserve"> should be removed </w:t>
      </w:r>
      <w:r w:rsidRPr="00F057DD">
        <w:rPr>
          <w:rFonts w:eastAsiaTheme="majorEastAsia" w:cstheme="majorBidi"/>
          <w:b/>
          <w:bCs/>
        </w:rPr>
        <w:t>from international surveys</w:t>
      </w:r>
    </w:p>
    <w:p w:rsidR="00B57EE8" w:rsidRPr="006B4777" w:rsidRDefault="00B57EE8" w:rsidP="007F2BD4">
      <w:pPr>
        <w:pStyle w:val="ListParagraph"/>
        <w:spacing w:after="120"/>
        <w:ind w:left="0"/>
        <w:rPr>
          <w:rFonts w:eastAsiaTheme="majorEastAsia" w:cstheme="majorBidi"/>
          <w:b/>
          <w:bCs/>
        </w:rPr>
      </w:pPr>
    </w:p>
    <w:p w:rsidR="00CB3308" w:rsidRDefault="00D749E9" w:rsidP="007F2BD4">
      <w:pPr>
        <w:pStyle w:val="ListParagraph"/>
        <w:numPr>
          <w:ilvl w:val="0"/>
          <w:numId w:val="9"/>
        </w:numPr>
        <w:spacing w:after="120"/>
        <w:ind w:left="0"/>
        <w:rPr>
          <w:rFonts w:eastAsiaTheme="majorEastAsia" w:cstheme="majorBidi"/>
          <w:b/>
          <w:bCs/>
        </w:rPr>
      </w:pPr>
      <w:r w:rsidRPr="00CB3308">
        <w:rPr>
          <w:rFonts w:eastAsiaTheme="majorEastAsia" w:cstheme="majorBidi"/>
          <w:b/>
          <w:bCs/>
        </w:rPr>
        <w:t xml:space="preserve">Action is needed </w:t>
      </w:r>
      <w:r w:rsidR="004944C3" w:rsidRPr="00CB3308">
        <w:rPr>
          <w:rFonts w:eastAsiaTheme="majorEastAsia" w:cstheme="majorBidi"/>
          <w:b/>
          <w:bCs/>
        </w:rPr>
        <w:t>both with</w:t>
      </w:r>
      <w:r w:rsidRPr="00CB3308">
        <w:rPr>
          <w:rFonts w:eastAsiaTheme="majorEastAsia" w:cstheme="majorBidi"/>
          <w:b/>
          <w:bCs/>
        </w:rPr>
        <w:t xml:space="preserve"> national and </w:t>
      </w:r>
      <w:r w:rsidR="00B7005B">
        <w:rPr>
          <w:rFonts w:eastAsiaTheme="majorEastAsia" w:cstheme="majorBidi"/>
          <w:b/>
          <w:bCs/>
        </w:rPr>
        <w:t xml:space="preserve">international agencies </w:t>
      </w:r>
      <w:r w:rsidR="00B92372">
        <w:rPr>
          <w:rFonts w:eastAsiaTheme="majorEastAsia" w:cstheme="majorBidi"/>
          <w:b/>
          <w:bCs/>
        </w:rPr>
        <w:t>to influence the</w:t>
      </w:r>
      <w:r w:rsidRPr="00CB3308">
        <w:rPr>
          <w:rFonts w:eastAsiaTheme="majorEastAsia" w:cstheme="majorBidi"/>
          <w:b/>
          <w:bCs/>
        </w:rPr>
        <w:t xml:space="preserve"> design, collect</w:t>
      </w:r>
      <w:r w:rsidR="00B92372">
        <w:rPr>
          <w:rFonts w:eastAsiaTheme="majorEastAsia" w:cstheme="majorBidi"/>
          <w:b/>
          <w:bCs/>
        </w:rPr>
        <w:t>ion</w:t>
      </w:r>
      <w:r w:rsidRPr="00CB3308">
        <w:rPr>
          <w:rFonts w:eastAsiaTheme="majorEastAsia" w:cstheme="majorBidi"/>
          <w:b/>
          <w:bCs/>
        </w:rPr>
        <w:t xml:space="preserve"> and collat</w:t>
      </w:r>
      <w:r w:rsidR="00B92372">
        <w:rPr>
          <w:rFonts w:eastAsiaTheme="majorEastAsia" w:cstheme="majorBidi"/>
          <w:b/>
          <w:bCs/>
        </w:rPr>
        <w:t>ion of</w:t>
      </w:r>
      <w:r w:rsidR="00BA2B71">
        <w:rPr>
          <w:rFonts w:eastAsiaTheme="majorEastAsia" w:cstheme="majorBidi"/>
          <w:b/>
          <w:bCs/>
        </w:rPr>
        <w:t xml:space="preserve"> </w:t>
      </w:r>
      <w:r w:rsidR="00B92372">
        <w:rPr>
          <w:rFonts w:eastAsiaTheme="majorEastAsia" w:cstheme="majorBidi"/>
          <w:b/>
          <w:bCs/>
        </w:rPr>
        <w:t xml:space="preserve">survey </w:t>
      </w:r>
      <w:r w:rsidR="006B4777" w:rsidRPr="00CB3308">
        <w:rPr>
          <w:rFonts w:eastAsiaTheme="majorEastAsia" w:cstheme="majorBidi"/>
          <w:b/>
          <w:bCs/>
        </w:rPr>
        <w:t xml:space="preserve">data </w:t>
      </w:r>
    </w:p>
    <w:p w:rsidR="00B242AE" w:rsidRDefault="00B242AE" w:rsidP="007F2BD4">
      <w:pPr>
        <w:pStyle w:val="ListParagraph"/>
        <w:spacing w:after="120"/>
        <w:ind w:left="0"/>
        <w:rPr>
          <w:rFonts w:eastAsiaTheme="majorEastAsia" w:cstheme="majorBidi"/>
          <w:b/>
          <w:bCs/>
        </w:rPr>
      </w:pPr>
    </w:p>
    <w:p w:rsidR="00B242AE" w:rsidRDefault="00CB3308" w:rsidP="007F2BD4">
      <w:pPr>
        <w:pStyle w:val="ListParagraph"/>
        <w:numPr>
          <w:ilvl w:val="0"/>
          <w:numId w:val="9"/>
        </w:numPr>
        <w:spacing w:after="120"/>
        <w:ind w:left="0"/>
        <w:rPr>
          <w:rFonts w:eastAsiaTheme="majorEastAsia" w:cstheme="majorBidi"/>
          <w:b/>
          <w:bCs/>
        </w:rPr>
      </w:pPr>
      <w:r>
        <w:rPr>
          <w:rFonts w:eastAsiaTheme="majorEastAsia" w:cstheme="majorBidi"/>
          <w:b/>
          <w:bCs/>
        </w:rPr>
        <w:t>D</w:t>
      </w:r>
      <w:r w:rsidR="00D749E9" w:rsidRPr="00B242AE">
        <w:rPr>
          <w:rFonts w:eastAsiaTheme="majorEastAsia" w:cstheme="majorBidi"/>
          <w:b/>
          <w:bCs/>
        </w:rPr>
        <w:t xml:space="preserve">ata should, as a minimum, be disaggregated by age, gender, disability and </w:t>
      </w:r>
      <w:r w:rsidR="00084CE5">
        <w:rPr>
          <w:rFonts w:eastAsiaTheme="majorEastAsia" w:cstheme="majorBidi"/>
          <w:b/>
          <w:bCs/>
        </w:rPr>
        <w:t xml:space="preserve">location </w:t>
      </w:r>
    </w:p>
    <w:p w:rsidR="00B242AE" w:rsidRDefault="00B242AE" w:rsidP="007F2BD4">
      <w:pPr>
        <w:pStyle w:val="ListParagraph"/>
        <w:spacing w:after="120"/>
        <w:ind w:left="0"/>
        <w:rPr>
          <w:rFonts w:eastAsiaTheme="majorEastAsia" w:cstheme="majorBidi"/>
          <w:b/>
          <w:bCs/>
        </w:rPr>
      </w:pPr>
    </w:p>
    <w:p w:rsidR="007A4221" w:rsidRPr="00790BE9" w:rsidRDefault="00D749E9" w:rsidP="007F2BD4">
      <w:pPr>
        <w:pStyle w:val="ListParagraph"/>
        <w:numPr>
          <w:ilvl w:val="0"/>
          <w:numId w:val="9"/>
        </w:numPr>
        <w:spacing w:after="120"/>
        <w:ind w:left="0"/>
        <w:rPr>
          <w:rFonts w:eastAsiaTheme="majorEastAsia" w:cstheme="majorBidi"/>
          <w:b/>
          <w:bCs/>
        </w:rPr>
      </w:pPr>
      <w:r w:rsidRPr="00B242AE">
        <w:rPr>
          <w:rFonts w:eastAsiaTheme="majorEastAsia" w:cstheme="majorBidi"/>
          <w:b/>
          <w:bCs/>
        </w:rPr>
        <w:t xml:space="preserve">We </w:t>
      </w:r>
      <w:r w:rsidR="006324DC">
        <w:rPr>
          <w:rFonts w:eastAsiaTheme="majorEastAsia" w:cstheme="majorBidi"/>
          <w:b/>
          <w:bCs/>
        </w:rPr>
        <w:t>must</w:t>
      </w:r>
      <w:r w:rsidR="00BA2B71">
        <w:rPr>
          <w:rFonts w:eastAsiaTheme="majorEastAsia" w:cstheme="majorBidi"/>
          <w:b/>
          <w:bCs/>
        </w:rPr>
        <w:t xml:space="preserve"> </w:t>
      </w:r>
      <w:r w:rsidRPr="00B242AE">
        <w:rPr>
          <w:rFonts w:eastAsiaTheme="majorEastAsia" w:cstheme="majorBidi"/>
          <w:b/>
          <w:bCs/>
        </w:rPr>
        <w:t>stimulate wider debate</w:t>
      </w:r>
      <w:r w:rsidR="006652D5">
        <w:rPr>
          <w:rFonts w:eastAsiaTheme="majorEastAsia" w:cstheme="majorBidi"/>
          <w:b/>
          <w:bCs/>
        </w:rPr>
        <w:t xml:space="preserve"> on the assumptions used in measuring </w:t>
      </w:r>
      <w:r w:rsidRPr="00B242AE">
        <w:rPr>
          <w:rFonts w:eastAsiaTheme="majorEastAsia" w:cstheme="majorBidi"/>
          <w:b/>
          <w:bCs/>
        </w:rPr>
        <w:t>household and old age poverty</w:t>
      </w:r>
      <w:r w:rsidR="00B242AE" w:rsidRPr="00B242AE">
        <w:rPr>
          <w:rFonts w:eastAsiaTheme="majorEastAsia" w:cstheme="majorBidi"/>
          <w:b/>
          <w:bCs/>
        </w:rPr>
        <w:t>.</w:t>
      </w:r>
    </w:p>
    <w:p w:rsidR="00D749E9" w:rsidRPr="00D749E9" w:rsidRDefault="00A47B03" w:rsidP="007F2BD4">
      <w:pPr>
        <w:spacing w:after="120"/>
        <w:ind w:left="0"/>
        <w:rPr>
          <w:rFonts w:eastAsiaTheme="majorEastAsia" w:cstheme="majorBidi"/>
          <w:bCs/>
        </w:rPr>
      </w:pPr>
      <w:r>
        <w:rPr>
          <w:rFonts w:eastAsiaTheme="majorEastAsia" w:cstheme="majorBidi"/>
          <w:bCs/>
        </w:rPr>
        <w:t>D</w:t>
      </w:r>
      <w:r w:rsidR="005760B2" w:rsidRPr="005760B2">
        <w:rPr>
          <w:rFonts w:eastAsiaTheme="majorEastAsia" w:cstheme="majorBidi"/>
          <w:bCs/>
        </w:rPr>
        <w:t xml:space="preserve">ata systems are not fit for purpose in today’s ageing world.  Data on older </w:t>
      </w:r>
      <w:r w:rsidR="00BB0A1A">
        <w:rPr>
          <w:rFonts w:eastAsiaTheme="majorEastAsia" w:cstheme="majorBidi"/>
          <w:bCs/>
        </w:rPr>
        <w:t>people</w:t>
      </w:r>
      <w:r w:rsidR="005760B2">
        <w:rPr>
          <w:rFonts w:eastAsiaTheme="majorEastAsia" w:cstheme="majorBidi"/>
          <w:bCs/>
        </w:rPr>
        <w:t xml:space="preserve"> is either not collected, or</w:t>
      </w:r>
      <w:r w:rsidR="00FD1CB3">
        <w:rPr>
          <w:rFonts w:eastAsiaTheme="majorEastAsia" w:cstheme="majorBidi"/>
          <w:bCs/>
        </w:rPr>
        <w:t xml:space="preserve"> where </w:t>
      </w:r>
      <w:r w:rsidR="005760B2" w:rsidRPr="005760B2">
        <w:rPr>
          <w:rFonts w:eastAsiaTheme="majorEastAsia" w:cstheme="majorBidi"/>
          <w:bCs/>
        </w:rPr>
        <w:t xml:space="preserve">it does </w:t>
      </w:r>
      <w:proofErr w:type="gramStart"/>
      <w:r w:rsidR="005760B2" w:rsidRPr="005760B2">
        <w:rPr>
          <w:rFonts w:eastAsiaTheme="majorEastAsia" w:cstheme="majorBidi"/>
          <w:bCs/>
        </w:rPr>
        <w:t>exist</w:t>
      </w:r>
      <w:proofErr w:type="gramEnd"/>
      <w:r w:rsidR="005760B2" w:rsidRPr="005760B2">
        <w:rPr>
          <w:rFonts w:eastAsiaTheme="majorEastAsia" w:cstheme="majorBidi"/>
          <w:bCs/>
        </w:rPr>
        <w:t xml:space="preserve"> it is not fully analysed,</w:t>
      </w:r>
      <w:r w:rsidR="00BB0A1A">
        <w:rPr>
          <w:rFonts w:eastAsiaTheme="majorEastAsia" w:cstheme="majorBidi"/>
          <w:bCs/>
        </w:rPr>
        <w:t xml:space="preserve"> reported or utilis</w:t>
      </w:r>
      <w:r w:rsidR="00FD1CB3">
        <w:rPr>
          <w:rFonts w:eastAsiaTheme="majorEastAsia" w:cstheme="majorBidi"/>
          <w:bCs/>
        </w:rPr>
        <w:t>ed, leading to</w:t>
      </w:r>
      <w:r w:rsidR="005760B2" w:rsidRPr="005760B2">
        <w:rPr>
          <w:rFonts w:eastAsiaTheme="majorEastAsia" w:cstheme="majorBidi"/>
          <w:bCs/>
        </w:rPr>
        <w:t xml:space="preserve"> serious gaps in information for policy and planning.  It also means that we are not making best use of </w:t>
      </w:r>
      <w:r w:rsidR="005C242A">
        <w:rPr>
          <w:rFonts w:eastAsiaTheme="majorEastAsia" w:cstheme="majorBidi"/>
          <w:bCs/>
        </w:rPr>
        <w:t>the</w:t>
      </w:r>
      <w:r w:rsidR="005760B2" w:rsidRPr="005760B2">
        <w:rPr>
          <w:rFonts w:eastAsiaTheme="majorEastAsia" w:cstheme="majorBidi"/>
          <w:bCs/>
        </w:rPr>
        <w:t xml:space="preserve"> data infrastructure</w:t>
      </w:r>
      <w:r w:rsidR="005C242A">
        <w:rPr>
          <w:rFonts w:eastAsiaTheme="majorEastAsia" w:cstheme="majorBidi"/>
          <w:bCs/>
        </w:rPr>
        <w:t xml:space="preserve"> that already exists in the HelpAge network</w:t>
      </w:r>
      <w:r w:rsidR="005760B2" w:rsidRPr="005760B2">
        <w:rPr>
          <w:rFonts w:eastAsiaTheme="majorEastAsia" w:cstheme="majorBidi"/>
          <w:bCs/>
        </w:rPr>
        <w:t>.</w:t>
      </w:r>
    </w:p>
    <w:p w:rsidR="00041FA1" w:rsidRDefault="00D749E9" w:rsidP="007F2BD4">
      <w:pPr>
        <w:spacing w:after="120"/>
        <w:ind w:left="0"/>
        <w:rPr>
          <w:rFonts w:eastAsiaTheme="majorEastAsia" w:cstheme="majorBidi"/>
          <w:bCs/>
        </w:rPr>
      </w:pPr>
      <w:r w:rsidRPr="00D749E9">
        <w:rPr>
          <w:rFonts w:eastAsiaTheme="majorEastAsia" w:cstheme="majorBidi"/>
          <w:bCs/>
        </w:rPr>
        <w:lastRenderedPageBreak/>
        <w:t xml:space="preserve">The </w:t>
      </w:r>
      <w:r w:rsidR="0060155D">
        <w:rPr>
          <w:rFonts w:eastAsiaTheme="majorEastAsia" w:cstheme="majorBidi"/>
          <w:bCs/>
        </w:rPr>
        <w:t>SDGs have</w:t>
      </w:r>
      <w:r w:rsidRPr="00D749E9">
        <w:rPr>
          <w:rFonts w:eastAsiaTheme="majorEastAsia" w:cstheme="majorBidi"/>
          <w:bCs/>
        </w:rPr>
        <w:t xml:space="preserve"> been accompanied by a c</w:t>
      </w:r>
      <w:r w:rsidR="00FD1CB3">
        <w:rPr>
          <w:rFonts w:eastAsiaTheme="majorEastAsia" w:cstheme="majorBidi"/>
          <w:bCs/>
        </w:rPr>
        <w:t>all for a “data revolution”</w:t>
      </w:r>
      <w:r w:rsidR="00BB0A1A">
        <w:rPr>
          <w:rFonts w:eastAsiaTheme="majorEastAsia" w:cstheme="majorBidi"/>
          <w:bCs/>
        </w:rPr>
        <w:t>,</w:t>
      </w:r>
      <w:r w:rsidR="00FD1CB3">
        <w:rPr>
          <w:rFonts w:eastAsiaTheme="majorEastAsia" w:cstheme="majorBidi"/>
          <w:bCs/>
        </w:rPr>
        <w:t xml:space="preserve"> recognising</w:t>
      </w:r>
      <w:r w:rsidRPr="00D749E9">
        <w:rPr>
          <w:rFonts w:eastAsiaTheme="majorEastAsia" w:cstheme="majorBidi"/>
          <w:bCs/>
        </w:rPr>
        <w:t xml:space="preserve"> that concerted action is needed at all levels of the data </w:t>
      </w:r>
      <w:r w:rsidR="003358D3">
        <w:rPr>
          <w:rFonts w:eastAsiaTheme="majorEastAsia" w:cstheme="majorBidi"/>
          <w:bCs/>
        </w:rPr>
        <w:t>system from collection to utilis</w:t>
      </w:r>
      <w:r w:rsidRPr="00D749E9">
        <w:rPr>
          <w:rFonts w:eastAsiaTheme="majorEastAsia" w:cstheme="majorBidi"/>
          <w:bCs/>
        </w:rPr>
        <w:t>ation, and from all stakeholders, to improve the quality and range of data</w:t>
      </w:r>
      <w:r w:rsidR="00BB0A1A">
        <w:rPr>
          <w:rFonts w:eastAsiaTheme="majorEastAsia" w:cstheme="majorBidi"/>
          <w:bCs/>
        </w:rPr>
        <w:t>. T</w:t>
      </w:r>
      <w:r w:rsidRPr="00D749E9">
        <w:rPr>
          <w:rFonts w:eastAsiaTheme="majorEastAsia" w:cstheme="majorBidi"/>
          <w:bCs/>
        </w:rPr>
        <w:t xml:space="preserve">he scale of the challenge </w:t>
      </w:r>
      <w:r w:rsidR="00AF464F">
        <w:rPr>
          <w:rFonts w:eastAsiaTheme="majorEastAsia" w:cstheme="majorBidi"/>
          <w:bCs/>
        </w:rPr>
        <w:t>of</w:t>
      </w:r>
      <w:r w:rsidRPr="00D749E9">
        <w:rPr>
          <w:rFonts w:eastAsiaTheme="majorEastAsia" w:cstheme="majorBidi"/>
          <w:bCs/>
        </w:rPr>
        <w:t xml:space="preserve"> better data on ageing and older people is immense</w:t>
      </w:r>
      <w:r w:rsidR="00041FA1">
        <w:rPr>
          <w:rFonts w:eastAsiaTheme="majorEastAsia" w:cstheme="majorBidi"/>
          <w:bCs/>
        </w:rPr>
        <w:t>.</w:t>
      </w:r>
    </w:p>
    <w:p w:rsidR="00D749E9" w:rsidRPr="00D749E9" w:rsidRDefault="00D749E9" w:rsidP="007F2BD4">
      <w:pPr>
        <w:spacing w:after="120"/>
        <w:ind w:left="0"/>
        <w:rPr>
          <w:rFonts w:eastAsiaTheme="majorEastAsia" w:cstheme="majorBidi"/>
          <w:bCs/>
        </w:rPr>
      </w:pPr>
      <w:r w:rsidRPr="00D749E9">
        <w:rPr>
          <w:rFonts w:eastAsiaTheme="majorEastAsia" w:cstheme="majorBidi"/>
          <w:bCs/>
        </w:rPr>
        <w:t xml:space="preserve">Age needs to be taken into account as a cross -cutting issue in all goals and targets. In practice, </w:t>
      </w:r>
      <w:r w:rsidR="00041FA1">
        <w:rPr>
          <w:rFonts w:eastAsiaTheme="majorEastAsia" w:cstheme="majorBidi"/>
          <w:bCs/>
        </w:rPr>
        <w:t>w</w:t>
      </w:r>
      <w:r w:rsidRPr="00D749E9">
        <w:rPr>
          <w:rFonts w:eastAsiaTheme="majorEastAsia" w:cstheme="majorBidi"/>
          <w:bCs/>
        </w:rPr>
        <w:t>hile the SDGs incorporate 22 targets which either directly name older people as a group (e.g. 2.2, 11.7) or indirectly include them by referencing “all people”, “all ages or “universal”, only 8 indicators call for disaggregation by age.  The likelihood is that these 8 indicators will also be disaggregated by gender</w:t>
      </w:r>
      <w:r w:rsidR="00B702CB">
        <w:rPr>
          <w:rFonts w:eastAsiaTheme="majorEastAsia" w:cstheme="majorBidi"/>
          <w:bCs/>
        </w:rPr>
        <w:t>, but</w:t>
      </w:r>
      <w:r w:rsidRPr="00D749E9">
        <w:rPr>
          <w:rFonts w:eastAsiaTheme="majorEastAsia" w:cstheme="majorBidi"/>
          <w:bCs/>
        </w:rPr>
        <w:t xml:space="preserve"> just 3 of the 8 </w:t>
      </w:r>
      <w:r w:rsidR="00B702CB">
        <w:rPr>
          <w:rFonts w:eastAsiaTheme="majorEastAsia" w:cstheme="majorBidi"/>
          <w:bCs/>
        </w:rPr>
        <w:t>will</w:t>
      </w:r>
      <w:r w:rsidRPr="00D749E9">
        <w:rPr>
          <w:rFonts w:eastAsiaTheme="majorEastAsia" w:cstheme="majorBidi"/>
          <w:bCs/>
        </w:rPr>
        <w:t xml:space="preserve"> be disaggregated by disability.  Furthermore, it is not clear what the level of age disaggregation will be for the 8 indicators in question </w:t>
      </w:r>
      <w:r w:rsidR="00A44ED3">
        <w:rPr>
          <w:rFonts w:eastAsiaTheme="majorEastAsia" w:cstheme="majorBidi"/>
          <w:bCs/>
        </w:rPr>
        <w:t>– will it be a</w:t>
      </w:r>
      <w:r w:rsidRPr="00D749E9">
        <w:rPr>
          <w:rFonts w:eastAsiaTheme="majorEastAsia" w:cstheme="majorBidi"/>
          <w:bCs/>
        </w:rPr>
        <w:t xml:space="preserve"> single group aged 60 plus or disaggregation </w:t>
      </w:r>
      <w:r w:rsidR="00A44ED3">
        <w:rPr>
          <w:rFonts w:eastAsiaTheme="majorEastAsia" w:cstheme="majorBidi"/>
          <w:bCs/>
        </w:rPr>
        <w:t>by single year or in age groups?</w:t>
      </w:r>
      <w:r w:rsidRPr="00D749E9">
        <w:rPr>
          <w:rFonts w:eastAsiaTheme="majorEastAsia" w:cstheme="majorBidi"/>
          <w:bCs/>
        </w:rPr>
        <w:t xml:space="preserve">  This is a critical issue since the needs of people at different points in later l</w:t>
      </w:r>
      <w:r w:rsidR="00F67807">
        <w:rPr>
          <w:rFonts w:eastAsiaTheme="majorEastAsia" w:cstheme="majorBidi"/>
          <w:bCs/>
        </w:rPr>
        <w:t xml:space="preserve">ife </w:t>
      </w:r>
      <w:r w:rsidRPr="00D749E9">
        <w:rPr>
          <w:rFonts w:eastAsiaTheme="majorEastAsia" w:cstheme="majorBidi"/>
          <w:bCs/>
        </w:rPr>
        <w:t>vary enormously and decision-makers need to plan to meet the needs of ageing popu</w:t>
      </w:r>
      <w:r w:rsidR="006D2E46">
        <w:rPr>
          <w:rFonts w:eastAsiaTheme="majorEastAsia" w:cstheme="majorBidi"/>
          <w:bCs/>
        </w:rPr>
        <w:t>lations in all their diversity.</w:t>
      </w:r>
    </w:p>
    <w:p w:rsidR="00792B5D" w:rsidRDefault="00792B5D" w:rsidP="007F2BD4">
      <w:pPr>
        <w:spacing w:after="120"/>
        <w:ind w:left="0"/>
        <w:rPr>
          <w:rFonts w:eastAsiaTheme="majorEastAsia" w:cstheme="majorBidi"/>
          <w:b/>
          <w:bCs/>
        </w:rPr>
      </w:pPr>
    </w:p>
    <w:p w:rsidR="00D749E9" w:rsidRPr="006D2E46" w:rsidRDefault="006D2E46" w:rsidP="007F2BD4">
      <w:pPr>
        <w:spacing w:after="120"/>
        <w:ind w:left="0"/>
        <w:rPr>
          <w:rFonts w:eastAsiaTheme="majorEastAsia" w:cstheme="majorBidi"/>
          <w:b/>
          <w:bCs/>
        </w:rPr>
      </w:pPr>
      <w:r>
        <w:rPr>
          <w:rFonts w:eastAsiaTheme="majorEastAsia" w:cstheme="majorBidi"/>
          <w:b/>
          <w:bCs/>
        </w:rPr>
        <w:t>Data on Poverty and the SDGs</w:t>
      </w:r>
    </w:p>
    <w:p w:rsidR="006324DC" w:rsidRDefault="00D749E9" w:rsidP="007F2BD4">
      <w:pPr>
        <w:spacing w:after="120"/>
        <w:ind w:left="0"/>
        <w:rPr>
          <w:rFonts w:eastAsiaTheme="majorEastAsia" w:cstheme="majorBidi"/>
          <w:bCs/>
        </w:rPr>
      </w:pPr>
      <w:r w:rsidRPr="00D749E9">
        <w:rPr>
          <w:rFonts w:eastAsiaTheme="majorEastAsia" w:cstheme="majorBidi"/>
          <w:bCs/>
        </w:rPr>
        <w:t>There are also methodological issues with the measures of poverty referenced in the SDGs</w:t>
      </w:r>
      <w:r w:rsidR="00A8036E">
        <w:rPr>
          <w:rFonts w:eastAsiaTheme="majorEastAsia" w:cstheme="majorBidi"/>
          <w:bCs/>
        </w:rPr>
        <w:t>, of which the most</w:t>
      </w:r>
      <w:r w:rsidRPr="00D749E9">
        <w:rPr>
          <w:rFonts w:eastAsiaTheme="majorEastAsia" w:cstheme="majorBidi"/>
          <w:bCs/>
        </w:rPr>
        <w:t xml:space="preserve"> fundamental </w:t>
      </w:r>
      <w:r w:rsidR="0060155D">
        <w:rPr>
          <w:rFonts w:eastAsiaTheme="majorEastAsia" w:cstheme="majorBidi"/>
          <w:bCs/>
        </w:rPr>
        <w:t xml:space="preserve">is </w:t>
      </w:r>
      <w:r w:rsidRPr="00D749E9">
        <w:rPr>
          <w:rFonts w:eastAsiaTheme="majorEastAsia" w:cstheme="majorBidi"/>
          <w:bCs/>
        </w:rPr>
        <w:t>that measurement is based o</w:t>
      </w:r>
      <w:r w:rsidR="00F67807">
        <w:rPr>
          <w:rFonts w:eastAsiaTheme="majorEastAsia" w:cstheme="majorBidi"/>
          <w:bCs/>
        </w:rPr>
        <w:t xml:space="preserve">n the use of household </w:t>
      </w:r>
      <w:r w:rsidRPr="00D749E9">
        <w:rPr>
          <w:rFonts w:eastAsiaTheme="majorEastAsia" w:cstheme="majorBidi"/>
          <w:bCs/>
        </w:rPr>
        <w:t>income and expenditure</w:t>
      </w:r>
      <w:r w:rsidR="00BA2B71">
        <w:rPr>
          <w:rFonts w:eastAsiaTheme="majorEastAsia" w:cstheme="majorBidi"/>
          <w:bCs/>
        </w:rPr>
        <w:t xml:space="preserve"> </w:t>
      </w:r>
      <w:r w:rsidR="00F67807" w:rsidRPr="00F67807">
        <w:rPr>
          <w:rFonts w:eastAsiaTheme="majorEastAsia" w:cstheme="majorBidi"/>
          <w:bCs/>
        </w:rPr>
        <w:t>surveys</w:t>
      </w:r>
      <w:r w:rsidRPr="00D749E9">
        <w:rPr>
          <w:rFonts w:eastAsiaTheme="majorEastAsia" w:cstheme="majorBidi"/>
          <w:bCs/>
        </w:rPr>
        <w:t xml:space="preserve">.  </w:t>
      </w:r>
      <w:r w:rsidR="00CA2C79">
        <w:rPr>
          <w:rFonts w:eastAsiaTheme="majorEastAsia" w:cstheme="majorBidi"/>
          <w:bCs/>
        </w:rPr>
        <w:t>H</w:t>
      </w:r>
      <w:r w:rsidRPr="00D749E9">
        <w:rPr>
          <w:rFonts w:eastAsiaTheme="majorEastAsia" w:cstheme="majorBidi"/>
          <w:bCs/>
        </w:rPr>
        <w:t xml:space="preserve">ousehold surveys tell us whether older people live in poor or non-poor households but not whether, as individuals, they receive their fair share of income in a given household.  An additional </w:t>
      </w:r>
      <w:r w:rsidR="00A8036E">
        <w:rPr>
          <w:rFonts w:eastAsiaTheme="majorEastAsia" w:cstheme="majorBidi"/>
          <w:bCs/>
        </w:rPr>
        <w:t xml:space="preserve">challenge </w:t>
      </w:r>
      <w:r w:rsidR="00A22FA5">
        <w:rPr>
          <w:rFonts w:eastAsiaTheme="majorEastAsia" w:cstheme="majorBidi"/>
          <w:bCs/>
        </w:rPr>
        <w:t>is that t</w:t>
      </w:r>
      <w:r w:rsidRPr="00D749E9">
        <w:rPr>
          <w:rFonts w:eastAsiaTheme="majorEastAsia" w:cstheme="majorBidi"/>
          <w:bCs/>
        </w:rPr>
        <w:t>here has been limited discussion, let alone consensus, on the assumptions that should be used to measure old age poverty</w:t>
      </w:r>
      <w:r w:rsidR="00903244">
        <w:rPr>
          <w:rFonts w:eastAsiaTheme="majorEastAsia" w:cstheme="majorBidi"/>
          <w:bCs/>
        </w:rPr>
        <w:t xml:space="preserve"> in low and middle income countries</w:t>
      </w:r>
      <w:r w:rsidRPr="00D749E9">
        <w:rPr>
          <w:rFonts w:eastAsiaTheme="majorEastAsia" w:cstheme="majorBidi"/>
          <w:bCs/>
        </w:rPr>
        <w:t>.  As a result, there are numerous examples where analysis has drawn conclusions about older people being less poor tha</w:t>
      </w:r>
      <w:r w:rsidR="00F67807">
        <w:rPr>
          <w:rFonts w:eastAsiaTheme="majorEastAsia" w:cstheme="majorBidi"/>
          <w:bCs/>
        </w:rPr>
        <w:t>n the rest of the population</w:t>
      </w:r>
      <w:r w:rsidR="003E2566">
        <w:rPr>
          <w:rFonts w:eastAsiaTheme="majorEastAsia" w:cstheme="majorBidi"/>
          <w:bCs/>
        </w:rPr>
        <w:t>.</w:t>
      </w:r>
      <w:r w:rsidR="00BA2B71">
        <w:rPr>
          <w:rFonts w:eastAsiaTheme="majorEastAsia" w:cstheme="majorBidi"/>
          <w:bCs/>
        </w:rPr>
        <w:t xml:space="preserve"> </w:t>
      </w:r>
      <w:r w:rsidR="003E2566">
        <w:rPr>
          <w:rFonts w:eastAsiaTheme="majorEastAsia" w:cstheme="majorBidi"/>
          <w:bCs/>
        </w:rPr>
        <w:t>E</w:t>
      </w:r>
      <w:r w:rsidR="003E2566" w:rsidRPr="003E2566">
        <w:rPr>
          <w:rFonts w:eastAsiaTheme="majorEastAsia" w:cstheme="majorBidi"/>
          <w:bCs/>
        </w:rPr>
        <w:t xml:space="preserve">ven </w:t>
      </w:r>
      <w:r w:rsidR="003E2566">
        <w:rPr>
          <w:rFonts w:eastAsiaTheme="majorEastAsia" w:cstheme="majorBidi"/>
          <w:bCs/>
        </w:rPr>
        <w:t>where</w:t>
      </w:r>
      <w:r w:rsidR="003E2566" w:rsidRPr="003E2566">
        <w:rPr>
          <w:rFonts w:eastAsiaTheme="majorEastAsia" w:cstheme="majorBidi"/>
          <w:bCs/>
        </w:rPr>
        <w:t xml:space="preserve"> these re</w:t>
      </w:r>
      <w:r w:rsidR="003E2566">
        <w:rPr>
          <w:rFonts w:eastAsiaTheme="majorEastAsia" w:cstheme="majorBidi"/>
          <w:bCs/>
        </w:rPr>
        <w:t xml:space="preserve">sults have later been disproved </w:t>
      </w:r>
      <w:r w:rsidR="00A47FE2">
        <w:rPr>
          <w:rFonts w:eastAsiaTheme="majorEastAsia" w:cstheme="majorBidi"/>
          <w:bCs/>
        </w:rPr>
        <w:t xml:space="preserve">the outcome is often that older people’s </w:t>
      </w:r>
      <w:r w:rsidR="00160998">
        <w:rPr>
          <w:rFonts w:eastAsiaTheme="majorEastAsia" w:cstheme="majorBidi"/>
          <w:bCs/>
        </w:rPr>
        <w:t>social protection is given a lower priority</w:t>
      </w:r>
      <w:r w:rsidR="00E83ECD">
        <w:rPr>
          <w:rFonts w:eastAsiaTheme="majorEastAsia" w:cstheme="majorBidi"/>
          <w:bCs/>
        </w:rPr>
        <w:t xml:space="preserve"> in policy making</w:t>
      </w:r>
      <w:r w:rsidR="00160998">
        <w:rPr>
          <w:rFonts w:eastAsiaTheme="majorEastAsia" w:cstheme="majorBidi"/>
          <w:bCs/>
        </w:rPr>
        <w:t>.</w:t>
      </w:r>
    </w:p>
    <w:p w:rsidR="00F04128" w:rsidRPr="00F04128" w:rsidRDefault="00F04128" w:rsidP="007F2BD4">
      <w:pPr>
        <w:spacing w:after="120"/>
        <w:ind w:left="0"/>
        <w:rPr>
          <w:rFonts w:eastAsiaTheme="majorEastAsia" w:cstheme="majorBidi"/>
          <w:b/>
          <w:bCs/>
        </w:rPr>
      </w:pPr>
      <w:r w:rsidRPr="00F04128">
        <w:rPr>
          <w:rFonts w:eastAsiaTheme="majorEastAsia" w:cstheme="majorBidi"/>
          <w:b/>
          <w:bCs/>
        </w:rPr>
        <w:t>Conclusion</w:t>
      </w:r>
    </w:p>
    <w:p w:rsidR="00534BE1" w:rsidRDefault="00A86F55" w:rsidP="007F2BD4">
      <w:pPr>
        <w:spacing w:after="120"/>
        <w:ind w:left="0"/>
        <w:rPr>
          <w:rFonts w:eastAsiaTheme="majorEastAsia" w:cstheme="majorBidi"/>
          <w:bCs/>
        </w:rPr>
      </w:pPr>
      <w:r>
        <w:rPr>
          <w:rFonts w:eastAsiaTheme="majorEastAsia" w:cstheme="majorBidi"/>
          <w:bCs/>
        </w:rPr>
        <w:t xml:space="preserve">HelpAge broadly welcomes the </w:t>
      </w:r>
      <w:r w:rsidR="00C41D88">
        <w:rPr>
          <w:rFonts w:eastAsiaTheme="majorEastAsia" w:cstheme="majorBidi"/>
          <w:bCs/>
        </w:rPr>
        <w:t xml:space="preserve">more universal, inclusive </w:t>
      </w:r>
      <w:r>
        <w:rPr>
          <w:rFonts w:eastAsiaTheme="majorEastAsia" w:cstheme="majorBidi"/>
          <w:bCs/>
        </w:rPr>
        <w:t>approach taken by the SDGs</w:t>
      </w:r>
      <w:r w:rsidR="00C41D88">
        <w:rPr>
          <w:rFonts w:eastAsiaTheme="majorEastAsia" w:cstheme="majorBidi"/>
          <w:bCs/>
        </w:rPr>
        <w:t xml:space="preserve"> in comparison to the Millennium Development Goa</w:t>
      </w:r>
      <w:r w:rsidR="00AC287D">
        <w:rPr>
          <w:rFonts w:eastAsiaTheme="majorEastAsia" w:cstheme="majorBidi"/>
          <w:bCs/>
        </w:rPr>
        <w:t>l</w:t>
      </w:r>
      <w:r w:rsidR="00C41D88">
        <w:rPr>
          <w:rFonts w:eastAsiaTheme="majorEastAsia" w:cstheme="majorBidi"/>
          <w:bCs/>
        </w:rPr>
        <w:t xml:space="preserve">s. </w:t>
      </w:r>
      <w:r w:rsidR="007D372D">
        <w:rPr>
          <w:rFonts w:eastAsiaTheme="majorEastAsia" w:cstheme="majorBidi"/>
          <w:bCs/>
        </w:rPr>
        <w:t>R</w:t>
      </w:r>
      <w:r w:rsidR="00C41D88">
        <w:rPr>
          <w:rFonts w:eastAsiaTheme="majorEastAsia" w:cstheme="majorBidi"/>
          <w:bCs/>
        </w:rPr>
        <w:t>eference</w:t>
      </w:r>
      <w:r w:rsidR="007D372D">
        <w:rPr>
          <w:rFonts w:eastAsiaTheme="majorEastAsia" w:cstheme="majorBidi"/>
          <w:bCs/>
        </w:rPr>
        <w:t>s</w:t>
      </w:r>
      <w:r w:rsidR="00C41D88">
        <w:rPr>
          <w:rFonts w:eastAsiaTheme="majorEastAsia" w:cstheme="majorBidi"/>
          <w:bCs/>
        </w:rPr>
        <w:t xml:space="preserve"> to </w:t>
      </w:r>
      <w:r w:rsidR="004B284B">
        <w:rPr>
          <w:rFonts w:eastAsiaTheme="majorEastAsia" w:cstheme="majorBidi"/>
          <w:bCs/>
        </w:rPr>
        <w:t xml:space="preserve">ending poverty and </w:t>
      </w:r>
      <w:r w:rsidR="004B284B">
        <w:rPr>
          <w:rFonts w:eastAsiaTheme="majorEastAsia" w:cstheme="majorBidi"/>
          <w:bCs/>
        </w:rPr>
        <w:lastRenderedPageBreak/>
        <w:t xml:space="preserve">ensuring health for </w:t>
      </w:r>
      <w:r w:rsidR="00C41D88">
        <w:rPr>
          <w:rFonts w:eastAsiaTheme="majorEastAsia" w:cstheme="majorBidi"/>
          <w:bCs/>
        </w:rPr>
        <w:t>people of all ages, a</w:t>
      </w:r>
      <w:r w:rsidR="007D372D">
        <w:rPr>
          <w:rFonts w:eastAsiaTheme="majorEastAsia" w:cstheme="majorBidi"/>
          <w:bCs/>
        </w:rPr>
        <w:t xml:space="preserve">s well as </w:t>
      </w:r>
      <w:r w:rsidR="00024014">
        <w:rPr>
          <w:rFonts w:eastAsiaTheme="majorEastAsia" w:cstheme="majorBidi"/>
          <w:bCs/>
        </w:rPr>
        <w:t>support to</w:t>
      </w:r>
      <w:r w:rsidR="007D372D">
        <w:rPr>
          <w:rFonts w:eastAsiaTheme="majorEastAsia" w:cstheme="majorBidi"/>
          <w:bCs/>
        </w:rPr>
        <w:t xml:space="preserve"> a l</w:t>
      </w:r>
      <w:r w:rsidR="00C41D88">
        <w:rPr>
          <w:rFonts w:eastAsiaTheme="majorEastAsia" w:cstheme="majorBidi"/>
          <w:bCs/>
        </w:rPr>
        <w:t>ifelong approach</w:t>
      </w:r>
      <w:r w:rsidR="007D372D">
        <w:rPr>
          <w:rFonts w:eastAsiaTheme="majorEastAsia" w:cstheme="majorBidi"/>
          <w:bCs/>
        </w:rPr>
        <w:t xml:space="preserve"> to learning</w:t>
      </w:r>
      <w:r w:rsidR="00AD3B26">
        <w:rPr>
          <w:rFonts w:eastAsiaTheme="majorEastAsia" w:cstheme="majorBidi"/>
          <w:bCs/>
        </w:rPr>
        <w:t>,</w:t>
      </w:r>
      <w:r w:rsidR="00BA2B71">
        <w:rPr>
          <w:rFonts w:eastAsiaTheme="majorEastAsia" w:cstheme="majorBidi"/>
          <w:bCs/>
        </w:rPr>
        <w:t xml:space="preserve"> </w:t>
      </w:r>
      <w:r w:rsidR="00AD3B26">
        <w:rPr>
          <w:rFonts w:eastAsiaTheme="majorEastAsia" w:cstheme="majorBidi"/>
          <w:bCs/>
        </w:rPr>
        <w:t>a</w:t>
      </w:r>
      <w:r w:rsidR="007D372D">
        <w:rPr>
          <w:rFonts w:eastAsiaTheme="majorEastAsia" w:cstheme="majorBidi"/>
          <w:bCs/>
        </w:rPr>
        <w:t>re</w:t>
      </w:r>
      <w:r w:rsidR="00BA2B71">
        <w:rPr>
          <w:rFonts w:eastAsiaTheme="majorEastAsia" w:cstheme="majorBidi"/>
          <w:bCs/>
        </w:rPr>
        <w:t xml:space="preserve"> </w:t>
      </w:r>
      <w:r w:rsidR="00A45D4E">
        <w:rPr>
          <w:rFonts w:eastAsiaTheme="majorEastAsia" w:cstheme="majorBidi"/>
          <w:bCs/>
        </w:rPr>
        <w:t>positive developments</w:t>
      </w:r>
      <w:r w:rsidR="00C41D88">
        <w:rPr>
          <w:rFonts w:eastAsiaTheme="majorEastAsia" w:cstheme="majorBidi"/>
          <w:bCs/>
        </w:rPr>
        <w:t xml:space="preserve">. </w:t>
      </w:r>
      <w:r w:rsidR="00024014">
        <w:rPr>
          <w:rFonts w:eastAsiaTheme="majorEastAsia" w:cstheme="majorBidi"/>
          <w:bCs/>
        </w:rPr>
        <w:t xml:space="preserve"> We are </w:t>
      </w:r>
      <w:r w:rsidR="00192905">
        <w:rPr>
          <w:rFonts w:eastAsiaTheme="majorEastAsia" w:cstheme="majorBidi"/>
          <w:bCs/>
        </w:rPr>
        <w:t>however disappointed tha</w:t>
      </w:r>
      <w:r w:rsidR="00024014">
        <w:rPr>
          <w:rFonts w:eastAsiaTheme="majorEastAsia" w:cstheme="majorBidi"/>
          <w:bCs/>
        </w:rPr>
        <w:t xml:space="preserve">t </w:t>
      </w:r>
      <w:r w:rsidR="00417A2C">
        <w:rPr>
          <w:rFonts w:eastAsiaTheme="majorEastAsia" w:cstheme="majorBidi"/>
          <w:bCs/>
        </w:rPr>
        <w:t xml:space="preserve">the overall approach of the SDGs continues to marginalise ageing and older people. In particular, </w:t>
      </w:r>
      <w:r w:rsidR="00024014">
        <w:rPr>
          <w:rFonts w:eastAsiaTheme="majorEastAsia" w:cstheme="majorBidi"/>
          <w:bCs/>
        </w:rPr>
        <w:t xml:space="preserve">the failure to </w:t>
      </w:r>
      <w:r w:rsidR="000D5578">
        <w:rPr>
          <w:rFonts w:eastAsiaTheme="majorEastAsia" w:cstheme="majorBidi"/>
          <w:bCs/>
        </w:rPr>
        <w:t xml:space="preserve">recognise the need for a UN convention means that </w:t>
      </w:r>
      <w:r w:rsidR="001F4430">
        <w:rPr>
          <w:rFonts w:eastAsiaTheme="majorEastAsia" w:cstheme="majorBidi"/>
          <w:bCs/>
        </w:rPr>
        <w:t xml:space="preserve">the rights of </w:t>
      </w:r>
      <w:r w:rsidR="000D5578">
        <w:rPr>
          <w:rFonts w:eastAsiaTheme="majorEastAsia" w:cstheme="majorBidi"/>
          <w:bCs/>
        </w:rPr>
        <w:t>older people, unlike those</w:t>
      </w:r>
      <w:r w:rsidR="001F4430">
        <w:rPr>
          <w:rFonts w:eastAsiaTheme="majorEastAsia" w:cstheme="majorBidi"/>
          <w:bCs/>
        </w:rPr>
        <w:t xml:space="preserve"> of women, </w:t>
      </w:r>
      <w:r w:rsidR="000D5578" w:rsidRPr="000D5578">
        <w:rPr>
          <w:rFonts w:eastAsiaTheme="majorEastAsia" w:cstheme="majorBidi"/>
          <w:bCs/>
        </w:rPr>
        <w:t xml:space="preserve">children </w:t>
      </w:r>
      <w:r w:rsidR="001F4430">
        <w:rPr>
          <w:rFonts w:eastAsiaTheme="majorEastAsia" w:cstheme="majorBidi"/>
          <w:bCs/>
        </w:rPr>
        <w:t>and people with</w:t>
      </w:r>
      <w:r w:rsidR="00BA2B71">
        <w:rPr>
          <w:rFonts w:eastAsiaTheme="majorEastAsia" w:cstheme="majorBidi"/>
          <w:bCs/>
        </w:rPr>
        <w:t xml:space="preserve"> </w:t>
      </w:r>
      <w:r w:rsidR="001F4430">
        <w:rPr>
          <w:rFonts w:eastAsiaTheme="majorEastAsia" w:cstheme="majorBidi"/>
          <w:bCs/>
        </w:rPr>
        <w:t>disabilities</w:t>
      </w:r>
      <w:r w:rsidR="00EE3EDA">
        <w:rPr>
          <w:rFonts w:eastAsiaTheme="majorEastAsia" w:cstheme="majorBidi"/>
          <w:bCs/>
        </w:rPr>
        <w:t>,</w:t>
      </w:r>
      <w:r w:rsidR="001F4430">
        <w:rPr>
          <w:rFonts w:eastAsiaTheme="majorEastAsia" w:cstheme="majorBidi"/>
          <w:bCs/>
        </w:rPr>
        <w:t xml:space="preserve"> will remain unprotected in the implementation of the Agenda for Sustainable Development.</w:t>
      </w:r>
    </w:p>
    <w:p w:rsidR="00534BE1" w:rsidRDefault="008660AE" w:rsidP="007F2BD4">
      <w:pPr>
        <w:spacing w:after="120"/>
        <w:ind w:left="0"/>
        <w:rPr>
          <w:rFonts w:eastAsiaTheme="majorEastAsia" w:cstheme="majorBidi"/>
          <w:bCs/>
        </w:rPr>
      </w:pPr>
      <w:r>
        <w:rPr>
          <w:rFonts w:eastAsiaTheme="majorEastAsia" w:cstheme="majorBidi"/>
          <w:bCs/>
        </w:rPr>
        <w:t>Furthermore, the promise in the t</w:t>
      </w:r>
      <w:r w:rsidR="00EE3EDA">
        <w:rPr>
          <w:rFonts w:eastAsiaTheme="majorEastAsia" w:cstheme="majorBidi"/>
          <w:bCs/>
        </w:rPr>
        <w:t>argets is not always reflected in the ambition of the indicators</w:t>
      </w:r>
      <w:r w:rsidR="00EE625C">
        <w:rPr>
          <w:rFonts w:eastAsiaTheme="majorEastAsia" w:cstheme="majorBidi"/>
          <w:bCs/>
        </w:rPr>
        <w:t>, which</w:t>
      </w:r>
      <w:r w:rsidR="00BA2B71">
        <w:rPr>
          <w:rFonts w:eastAsiaTheme="majorEastAsia" w:cstheme="majorBidi"/>
          <w:bCs/>
        </w:rPr>
        <w:t xml:space="preserve"> </w:t>
      </w:r>
      <w:r w:rsidR="00AD3B26">
        <w:rPr>
          <w:rFonts w:eastAsiaTheme="majorEastAsia" w:cstheme="majorBidi"/>
          <w:bCs/>
        </w:rPr>
        <w:t xml:space="preserve">for the most part </w:t>
      </w:r>
      <w:r w:rsidR="00EE625C">
        <w:rPr>
          <w:rFonts w:eastAsiaTheme="majorEastAsia" w:cstheme="majorBidi"/>
          <w:bCs/>
        </w:rPr>
        <w:t xml:space="preserve">fail to recognise </w:t>
      </w:r>
      <w:r w:rsidR="0044549C">
        <w:rPr>
          <w:rFonts w:eastAsiaTheme="majorEastAsia" w:cstheme="majorBidi"/>
          <w:bCs/>
        </w:rPr>
        <w:t>i</w:t>
      </w:r>
      <w:r w:rsidR="00AD3B26">
        <w:rPr>
          <w:rFonts w:eastAsiaTheme="majorEastAsia" w:cstheme="majorBidi"/>
          <w:bCs/>
        </w:rPr>
        <w:t xml:space="preserve">ssues concerning </w:t>
      </w:r>
      <w:r w:rsidR="00EE625C">
        <w:rPr>
          <w:rFonts w:eastAsiaTheme="majorEastAsia" w:cstheme="majorBidi"/>
          <w:bCs/>
        </w:rPr>
        <w:t>ageing and older people.</w:t>
      </w:r>
      <w:r w:rsidR="00BA2B71">
        <w:rPr>
          <w:rFonts w:eastAsiaTheme="majorEastAsia" w:cstheme="majorBidi"/>
          <w:bCs/>
        </w:rPr>
        <w:t xml:space="preserve"> </w:t>
      </w:r>
      <w:r w:rsidR="00CA7508">
        <w:rPr>
          <w:rFonts w:eastAsiaTheme="majorEastAsia" w:cstheme="majorBidi"/>
          <w:bCs/>
        </w:rPr>
        <w:t xml:space="preserve">In some cases (for example, upper age limits for data </w:t>
      </w:r>
      <w:proofErr w:type="gramStart"/>
      <w:r w:rsidR="00CA7508">
        <w:rPr>
          <w:rFonts w:eastAsiaTheme="majorEastAsia" w:cstheme="majorBidi"/>
          <w:bCs/>
        </w:rPr>
        <w:t>disaggregation,</w:t>
      </w:r>
      <w:proofErr w:type="gramEnd"/>
      <w:r w:rsidR="00CA7508">
        <w:rPr>
          <w:rFonts w:eastAsiaTheme="majorEastAsia" w:cstheme="majorBidi"/>
          <w:bCs/>
        </w:rPr>
        <w:t xml:space="preserve"> or the concept of “premature mortality”), the SDGs continue to discriminate against older people. </w:t>
      </w:r>
      <w:r w:rsidR="00E551D7">
        <w:rPr>
          <w:rFonts w:eastAsiaTheme="majorEastAsia" w:cstheme="majorBidi"/>
          <w:bCs/>
        </w:rPr>
        <w:t xml:space="preserve">Also, as noted above, the measurement of poverty in old age remains highly contentious. </w:t>
      </w:r>
      <w:r w:rsidR="00486D66">
        <w:rPr>
          <w:rFonts w:eastAsiaTheme="majorEastAsia" w:cstheme="majorBidi"/>
          <w:bCs/>
        </w:rPr>
        <w:t>So w</w:t>
      </w:r>
      <w:r w:rsidR="00534BE1">
        <w:rPr>
          <w:rFonts w:eastAsiaTheme="majorEastAsia" w:cstheme="majorBidi"/>
          <w:bCs/>
        </w:rPr>
        <w:t>e</w:t>
      </w:r>
      <w:r w:rsidR="001D3956">
        <w:rPr>
          <w:rFonts w:eastAsiaTheme="majorEastAsia" w:cstheme="majorBidi"/>
          <w:bCs/>
        </w:rPr>
        <w:t xml:space="preserve"> must wait to see how far </w:t>
      </w:r>
      <w:r w:rsidR="001D3210">
        <w:rPr>
          <w:rFonts w:eastAsiaTheme="majorEastAsia" w:cstheme="majorBidi"/>
          <w:bCs/>
        </w:rPr>
        <w:t xml:space="preserve">the </w:t>
      </w:r>
      <w:r w:rsidR="00486D66">
        <w:rPr>
          <w:rFonts w:eastAsiaTheme="majorEastAsia" w:cstheme="majorBidi"/>
          <w:bCs/>
        </w:rPr>
        <w:t xml:space="preserve">measurement of progress against the SDGs is inclusive of </w:t>
      </w:r>
      <w:r w:rsidR="00E551D7">
        <w:rPr>
          <w:rFonts w:eastAsiaTheme="majorEastAsia" w:cstheme="majorBidi"/>
          <w:bCs/>
        </w:rPr>
        <w:t>ageing and older people</w:t>
      </w:r>
      <w:r w:rsidR="001D3210">
        <w:rPr>
          <w:rFonts w:eastAsiaTheme="majorEastAsia" w:cstheme="majorBidi"/>
          <w:bCs/>
        </w:rPr>
        <w:t xml:space="preserve">. </w:t>
      </w:r>
      <w:r w:rsidR="0083686C">
        <w:rPr>
          <w:rFonts w:eastAsiaTheme="majorEastAsia" w:cstheme="majorBidi"/>
          <w:bCs/>
        </w:rPr>
        <w:t>As the</w:t>
      </w:r>
      <w:r w:rsidR="00E46F98">
        <w:rPr>
          <w:rFonts w:eastAsiaTheme="majorEastAsia" w:cstheme="majorBidi"/>
          <w:bCs/>
        </w:rPr>
        <w:t xml:space="preserve"> HelpAge network </w:t>
      </w:r>
      <w:r w:rsidR="0083686C">
        <w:rPr>
          <w:rFonts w:eastAsiaTheme="majorEastAsia" w:cstheme="majorBidi"/>
          <w:bCs/>
        </w:rPr>
        <w:t>we commit</w:t>
      </w:r>
      <w:r w:rsidR="00E46F98">
        <w:rPr>
          <w:rFonts w:eastAsiaTheme="majorEastAsia" w:cstheme="majorBidi"/>
          <w:bCs/>
        </w:rPr>
        <w:t xml:space="preserve"> to work together </w:t>
      </w:r>
      <w:r w:rsidR="0083686C">
        <w:rPr>
          <w:rFonts w:eastAsiaTheme="majorEastAsia" w:cstheme="majorBidi"/>
          <w:bCs/>
        </w:rPr>
        <w:t>in ensuring</w:t>
      </w:r>
      <w:r w:rsidR="001D3210">
        <w:rPr>
          <w:rFonts w:eastAsiaTheme="majorEastAsia" w:cstheme="majorBidi"/>
          <w:bCs/>
        </w:rPr>
        <w:t xml:space="preserve"> that </w:t>
      </w:r>
      <w:r w:rsidR="0083686C">
        <w:rPr>
          <w:rFonts w:eastAsiaTheme="majorEastAsia" w:cstheme="majorBidi"/>
          <w:bCs/>
        </w:rPr>
        <w:t xml:space="preserve">the vision of </w:t>
      </w:r>
      <w:r w:rsidR="00E46F98">
        <w:rPr>
          <w:rFonts w:eastAsiaTheme="majorEastAsia" w:cstheme="majorBidi"/>
          <w:bCs/>
        </w:rPr>
        <w:t xml:space="preserve">leaving no-one behind </w:t>
      </w:r>
      <w:r w:rsidR="0083686C">
        <w:rPr>
          <w:rFonts w:eastAsiaTheme="majorEastAsia" w:cstheme="majorBidi"/>
          <w:bCs/>
        </w:rPr>
        <w:t xml:space="preserve">is realised for all </w:t>
      </w:r>
      <w:r w:rsidR="001D3210">
        <w:rPr>
          <w:rFonts w:eastAsiaTheme="majorEastAsia" w:cstheme="majorBidi"/>
          <w:bCs/>
        </w:rPr>
        <w:t>older people</w:t>
      </w:r>
      <w:r w:rsidR="0083686C">
        <w:rPr>
          <w:rFonts w:eastAsiaTheme="majorEastAsia" w:cstheme="majorBidi"/>
          <w:bCs/>
        </w:rPr>
        <w:t>.</w:t>
      </w:r>
    </w:p>
    <w:p w:rsidR="006324DC" w:rsidRDefault="006324DC" w:rsidP="00D749E9">
      <w:pPr>
        <w:rPr>
          <w:rFonts w:eastAsiaTheme="majorEastAsia" w:cstheme="majorBidi"/>
          <w:bCs/>
        </w:rPr>
      </w:pPr>
    </w:p>
    <w:p w:rsidR="006324DC" w:rsidRPr="00D749E9" w:rsidRDefault="006324DC" w:rsidP="00D749E9">
      <w:pPr>
        <w:rPr>
          <w:rFonts w:eastAsiaTheme="majorEastAsia" w:cstheme="majorBidi"/>
          <w:bCs/>
        </w:rPr>
      </w:pPr>
    </w:p>
    <w:p w:rsidR="00C9737A" w:rsidRPr="00B360E1" w:rsidRDefault="00C9737A" w:rsidP="004A0E13"/>
    <w:sectPr w:rsidR="00C9737A" w:rsidRPr="00B360E1" w:rsidSect="005E68F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23E" w:rsidRDefault="00FB323E" w:rsidP="00963D26">
      <w:r>
        <w:separator/>
      </w:r>
    </w:p>
  </w:endnote>
  <w:endnote w:type="continuationSeparator" w:id="0">
    <w:p w:rsidR="00FB323E" w:rsidRDefault="00FB323E" w:rsidP="0096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497607"/>
      <w:docPartObj>
        <w:docPartGallery w:val="Page Numbers (Bottom of Page)"/>
        <w:docPartUnique/>
      </w:docPartObj>
    </w:sdtPr>
    <w:sdtEndPr>
      <w:rPr>
        <w:color w:val="808080" w:themeColor="background1" w:themeShade="80"/>
        <w:spacing w:val="60"/>
      </w:rPr>
    </w:sdtEndPr>
    <w:sdtContent>
      <w:p w:rsidR="00474DC9" w:rsidRDefault="005E68F5">
        <w:pPr>
          <w:pStyle w:val="Footer"/>
          <w:pBdr>
            <w:top w:val="single" w:sz="4" w:space="1" w:color="D9D9D9" w:themeColor="background1" w:themeShade="D9"/>
          </w:pBdr>
          <w:jc w:val="right"/>
        </w:pPr>
        <w:r>
          <w:fldChar w:fldCharType="begin"/>
        </w:r>
        <w:r w:rsidR="00474DC9">
          <w:instrText xml:space="preserve"> PAGE   \* MERGEFORMAT </w:instrText>
        </w:r>
        <w:r>
          <w:fldChar w:fldCharType="separate"/>
        </w:r>
        <w:r w:rsidR="0060243D">
          <w:rPr>
            <w:noProof/>
          </w:rPr>
          <w:t>1</w:t>
        </w:r>
        <w:r>
          <w:rPr>
            <w:noProof/>
          </w:rPr>
          <w:fldChar w:fldCharType="end"/>
        </w:r>
        <w:r w:rsidR="00474DC9">
          <w:t xml:space="preserve"> | </w:t>
        </w:r>
        <w:r w:rsidR="00474DC9">
          <w:rPr>
            <w:color w:val="808080" w:themeColor="background1" w:themeShade="80"/>
            <w:spacing w:val="60"/>
          </w:rPr>
          <w:t>Page</w:t>
        </w:r>
      </w:p>
    </w:sdtContent>
  </w:sdt>
  <w:p w:rsidR="006652D5" w:rsidRDefault="006652D5" w:rsidP="00963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23E" w:rsidRDefault="00FB323E" w:rsidP="00963D26">
      <w:r>
        <w:separator/>
      </w:r>
    </w:p>
  </w:footnote>
  <w:footnote w:type="continuationSeparator" w:id="0">
    <w:p w:rsidR="00FB323E" w:rsidRDefault="00FB323E" w:rsidP="00963D26">
      <w:r>
        <w:continuationSeparator/>
      </w:r>
    </w:p>
  </w:footnote>
  <w:footnote w:id="1">
    <w:p w:rsidR="006652D5" w:rsidRDefault="006652D5" w:rsidP="004F0113">
      <w:pPr>
        <w:pStyle w:val="FootnoteText"/>
        <w:ind w:left="0"/>
      </w:pPr>
      <w:r>
        <w:rPr>
          <w:rStyle w:val="FootnoteReference"/>
        </w:rPr>
        <w:footnoteRef/>
      </w:r>
      <w:hyperlink r:id="rId1" w:history="1">
        <w:r w:rsidRPr="00330B13">
          <w:rPr>
            <w:rStyle w:val="Hyperlink"/>
          </w:rPr>
          <w:t>http://un.org/sustainable-development/development-agenda</w:t>
        </w:r>
      </w:hyperlink>
      <w:r>
        <w:t xml:space="preserve"> is the link to the main SDG document, and </w:t>
      </w:r>
      <w:hyperlink r:id="rId2" w:history="1">
        <w:r w:rsidRPr="00330B13">
          <w:rPr>
            <w:rStyle w:val="Hyperlink"/>
          </w:rPr>
          <w:t>http://unstats.un.org/sdgs/iaeg-sdgs/</w:t>
        </w:r>
      </w:hyperlink>
      <w:r>
        <w:t xml:space="preserve"> is the link to the related indicators. </w:t>
      </w:r>
    </w:p>
  </w:footnote>
  <w:footnote w:id="2">
    <w:p w:rsidR="00441DDA" w:rsidRDefault="00441DDA" w:rsidP="00441DDA">
      <w:pPr>
        <w:pStyle w:val="FootnoteText"/>
        <w:ind w:left="0"/>
      </w:pPr>
      <w:r>
        <w:rPr>
          <w:rStyle w:val="FootnoteReference"/>
        </w:rPr>
        <w:footnoteRef/>
      </w:r>
      <w:r>
        <w:t xml:space="preserve"> </w:t>
      </w:r>
      <w:r w:rsidRPr="00420C38">
        <w:t>negative stereotypes and attitudes towards older age and older people</w:t>
      </w:r>
    </w:p>
  </w:footnote>
  <w:footnote w:id="3">
    <w:p w:rsidR="006652D5" w:rsidRDefault="006652D5" w:rsidP="008A56FB">
      <w:pPr>
        <w:pStyle w:val="FootnoteText"/>
        <w:ind w:left="0"/>
      </w:pPr>
      <w:r>
        <w:rPr>
          <w:rStyle w:val="FootnoteReference"/>
        </w:rPr>
        <w:footnoteRef/>
      </w:r>
      <w:r>
        <w:t xml:space="preserve"> </w:t>
      </w:r>
      <w:proofErr w:type="gramStart"/>
      <w:r>
        <w:t>N</w:t>
      </w:r>
      <w:r w:rsidRPr="005472BD">
        <w:t>ational surveys and Demographic Health Survey</w:t>
      </w:r>
      <w:r>
        <w:t>s.</w:t>
      </w:r>
      <w:proofErr w:type="gramEnd"/>
    </w:p>
  </w:footnote>
  <w:footnote w:id="4">
    <w:p w:rsidR="007B1D31" w:rsidRDefault="007B1D31" w:rsidP="007B1D31">
      <w:pPr>
        <w:pStyle w:val="FootnoteText"/>
        <w:ind w:left="0"/>
      </w:pPr>
      <w:r>
        <w:rPr>
          <w:rStyle w:val="FootnoteReference"/>
        </w:rPr>
        <w:footnoteRef/>
      </w:r>
      <w:r>
        <w:t xml:space="preserve"> See above p.7 for </w:t>
      </w:r>
      <w:proofErr w:type="spellStart"/>
      <w:r>
        <w:t>HelpAge’s</w:t>
      </w:r>
      <w:proofErr w:type="spellEnd"/>
      <w:r>
        <w:t xml:space="preserve"> position on this target.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D5" w:rsidRPr="00C42B11" w:rsidRDefault="00FB57BC">
    <w:pPr>
      <w:pStyle w:val="Header"/>
      <w:rPr>
        <w:b/>
      </w:rPr>
    </w:pPr>
    <w:r>
      <w:rPr>
        <w:b/>
      </w:rPr>
      <w:t>LNOB 10</w:t>
    </w:r>
    <w:r w:rsidR="00395ED9">
      <w:rPr>
        <w:b/>
      </w:rPr>
      <w:t xml:space="preserve"> </w:t>
    </w:r>
    <w:r>
      <w:rPr>
        <w:b/>
      </w:rPr>
      <w:t>26</w:t>
    </w:r>
    <w:r w:rsidR="000B7763">
      <w:rPr>
        <w:b/>
      </w:rPr>
      <w:t xml:space="preserve"> 10</w:t>
    </w:r>
    <w:r w:rsidR="00395ED9">
      <w:rPr>
        <w:b/>
      </w:rPr>
      <w:t xml:space="preserve"> </w:t>
    </w:r>
    <w:r w:rsidR="000B7763">
      <w:rPr>
        <w:b/>
      </w:rPr>
      <w:t>20</w:t>
    </w:r>
    <w:r w:rsidR="006652D5">
      <w:rPr>
        <w:b/>
      </w:rPr>
      <w:t>16</w:t>
    </w:r>
  </w:p>
  <w:p w:rsidR="006652D5" w:rsidRPr="000F561C" w:rsidRDefault="00FB323E" w:rsidP="00963D26">
    <w:pPr>
      <w:pStyle w:val="Header"/>
      <w:rPr>
        <w:b/>
        <w:sz w:val="28"/>
        <w:szCs w:val="28"/>
      </w:rPr>
    </w:pPr>
    <w:sdt>
      <w:sdtPr>
        <w:id w:val="-731540791"/>
        <w:docPartObj>
          <w:docPartGallery w:val="Watermarks"/>
          <w:docPartUnique/>
        </w:docPartObj>
      </w:sdtPr>
      <w:sdtEndPr/>
      <w:sdtContent>
        <w:r>
          <w:rPr>
            <w:noProof/>
            <w:sz w:val="22"/>
            <w:szCs w:val="22"/>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38E"/>
    <w:multiLevelType w:val="hybridMultilevel"/>
    <w:tmpl w:val="62AAA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866D08"/>
    <w:multiLevelType w:val="hybridMultilevel"/>
    <w:tmpl w:val="ED884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616435"/>
    <w:multiLevelType w:val="hybridMultilevel"/>
    <w:tmpl w:val="308C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0B406C"/>
    <w:multiLevelType w:val="hybridMultilevel"/>
    <w:tmpl w:val="8018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4736C"/>
    <w:multiLevelType w:val="hybridMultilevel"/>
    <w:tmpl w:val="8C3E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883F9C"/>
    <w:multiLevelType w:val="hybridMultilevel"/>
    <w:tmpl w:val="0E8E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756C2F"/>
    <w:multiLevelType w:val="hybridMultilevel"/>
    <w:tmpl w:val="0B52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505997"/>
    <w:multiLevelType w:val="hybridMultilevel"/>
    <w:tmpl w:val="5C6A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C83D83"/>
    <w:multiLevelType w:val="hybridMultilevel"/>
    <w:tmpl w:val="13B2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C82E02"/>
    <w:multiLevelType w:val="hybridMultilevel"/>
    <w:tmpl w:val="A1C8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9A14BE"/>
    <w:multiLevelType w:val="hybridMultilevel"/>
    <w:tmpl w:val="BF26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E55B90"/>
    <w:multiLevelType w:val="hybridMultilevel"/>
    <w:tmpl w:val="C7AE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182CA0"/>
    <w:multiLevelType w:val="hybridMultilevel"/>
    <w:tmpl w:val="7CD0D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8"/>
  </w:num>
  <w:num w:numId="4">
    <w:abstractNumId w:val="10"/>
  </w:num>
  <w:num w:numId="5">
    <w:abstractNumId w:val="11"/>
  </w:num>
  <w:num w:numId="6">
    <w:abstractNumId w:val="2"/>
  </w:num>
  <w:num w:numId="7">
    <w:abstractNumId w:val="3"/>
  </w:num>
  <w:num w:numId="8">
    <w:abstractNumId w:val="7"/>
  </w:num>
  <w:num w:numId="9">
    <w:abstractNumId w:val="5"/>
  </w:num>
  <w:num w:numId="10">
    <w:abstractNumId w:val="4"/>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29"/>
    <w:rsid w:val="000043D9"/>
    <w:rsid w:val="0000448E"/>
    <w:rsid w:val="00004ADA"/>
    <w:rsid w:val="0000584B"/>
    <w:rsid w:val="00006173"/>
    <w:rsid w:val="000115D5"/>
    <w:rsid w:val="00011CBF"/>
    <w:rsid w:val="00014EDD"/>
    <w:rsid w:val="00015D85"/>
    <w:rsid w:val="00022AEF"/>
    <w:rsid w:val="00023CA7"/>
    <w:rsid w:val="00024014"/>
    <w:rsid w:val="00034BE3"/>
    <w:rsid w:val="000357AD"/>
    <w:rsid w:val="00040D75"/>
    <w:rsid w:val="00041FA1"/>
    <w:rsid w:val="000430F3"/>
    <w:rsid w:val="00050802"/>
    <w:rsid w:val="00051879"/>
    <w:rsid w:val="000577EC"/>
    <w:rsid w:val="000600C5"/>
    <w:rsid w:val="000616E4"/>
    <w:rsid w:val="00061DE6"/>
    <w:rsid w:val="00062260"/>
    <w:rsid w:val="00066B12"/>
    <w:rsid w:val="00071803"/>
    <w:rsid w:val="00072BA2"/>
    <w:rsid w:val="0007614F"/>
    <w:rsid w:val="00082B1B"/>
    <w:rsid w:val="00084CE5"/>
    <w:rsid w:val="00086ED7"/>
    <w:rsid w:val="00087257"/>
    <w:rsid w:val="00093C65"/>
    <w:rsid w:val="00095F45"/>
    <w:rsid w:val="000A0F3C"/>
    <w:rsid w:val="000A5DD8"/>
    <w:rsid w:val="000A7B16"/>
    <w:rsid w:val="000B0776"/>
    <w:rsid w:val="000B7763"/>
    <w:rsid w:val="000C3B3B"/>
    <w:rsid w:val="000D0000"/>
    <w:rsid w:val="000D091A"/>
    <w:rsid w:val="000D221D"/>
    <w:rsid w:val="000D38DF"/>
    <w:rsid w:val="000D5578"/>
    <w:rsid w:val="000D678A"/>
    <w:rsid w:val="000E052E"/>
    <w:rsid w:val="000E32C9"/>
    <w:rsid w:val="000E6A15"/>
    <w:rsid w:val="000E6F0A"/>
    <w:rsid w:val="000F1B1E"/>
    <w:rsid w:val="000F1BC5"/>
    <w:rsid w:val="000F3790"/>
    <w:rsid w:val="000F4800"/>
    <w:rsid w:val="000F5105"/>
    <w:rsid w:val="000F561C"/>
    <w:rsid w:val="0010030D"/>
    <w:rsid w:val="00100C9E"/>
    <w:rsid w:val="00101C3E"/>
    <w:rsid w:val="001030D8"/>
    <w:rsid w:val="00105078"/>
    <w:rsid w:val="00110CE1"/>
    <w:rsid w:val="001121EC"/>
    <w:rsid w:val="0011501E"/>
    <w:rsid w:val="0011786F"/>
    <w:rsid w:val="00121124"/>
    <w:rsid w:val="001222F2"/>
    <w:rsid w:val="0012319A"/>
    <w:rsid w:val="00125C28"/>
    <w:rsid w:val="00125C32"/>
    <w:rsid w:val="00126074"/>
    <w:rsid w:val="00136F2B"/>
    <w:rsid w:val="001428FB"/>
    <w:rsid w:val="00142D20"/>
    <w:rsid w:val="00142FF7"/>
    <w:rsid w:val="001523B9"/>
    <w:rsid w:val="001531F0"/>
    <w:rsid w:val="00154261"/>
    <w:rsid w:val="00154C6A"/>
    <w:rsid w:val="00160998"/>
    <w:rsid w:val="00165369"/>
    <w:rsid w:val="00172835"/>
    <w:rsid w:val="00174F97"/>
    <w:rsid w:val="001774D7"/>
    <w:rsid w:val="001802A8"/>
    <w:rsid w:val="0018152D"/>
    <w:rsid w:val="00192905"/>
    <w:rsid w:val="0019386A"/>
    <w:rsid w:val="0019710F"/>
    <w:rsid w:val="0019768A"/>
    <w:rsid w:val="001A12F7"/>
    <w:rsid w:val="001A16B9"/>
    <w:rsid w:val="001A219A"/>
    <w:rsid w:val="001B0DBB"/>
    <w:rsid w:val="001B7241"/>
    <w:rsid w:val="001B7873"/>
    <w:rsid w:val="001B7C20"/>
    <w:rsid w:val="001C0057"/>
    <w:rsid w:val="001C6AA5"/>
    <w:rsid w:val="001D1600"/>
    <w:rsid w:val="001D257F"/>
    <w:rsid w:val="001D2E5A"/>
    <w:rsid w:val="001D3024"/>
    <w:rsid w:val="001D3210"/>
    <w:rsid w:val="001D3956"/>
    <w:rsid w:val="001D669B"/>
    <w:rsid w:val="001D7454"/>
    <w:rsid w:val="001E3485"/>
    <w:rsid w:val="001F0DA4"/>
    <w:rsid w:val="001F1E1E"/>
    <w:rsid w:val="001F3A4D"/>
    <w:rsid w:val="001F4430"/>
    <w:rsid w:val="001F6BC6"/>
    <w:rsid w:val="00202883"/>
    <w:rsid w:val="0020387F"/>
    <w:rsid w:val="00215C1E"/>
    <w:rsid w:val="0021696D"/>
    <w:rsid w:val="00216EE7"/>
    <w:rsid w:val="0021710E"/>
    <w:rsid w:val="00220D4A"/>
    <w:rsid w:val="00221BE7"/>
    <w:rsid w:val="00221E42"/>
    <w:rsid w:val="0022248E"/>
    <w:rsid w:val="00224F74"/>
    <w:rsid w:val="002254BB"/>
    <w:rsid w:val="00226968"/>
    <w:rsid w:val="00230AA8"/>
    <w:rsid w:val="002311F6"/>
    <w:rsid w:val="00235F5B"/>
    <w:rsid w:val="0023618C"/>
    <w:rsid w:val="00236BE6"/>
    <w:rsid w:val="0024180B"/>
    <w:rsid w:val="00241A2A"/>
    <w:rsid w:val="00241E8C"/>
    <w:rsid w:val="00242ADC"/>
    <w:rsid w:val="00243D87"/>
    <w:rsid w:val="00244C51"/>
    <w:rsid w:val="00245070"/>
    <w:rsid w:val="00250522"/>
    <w:rsid w:val="002506B5"/>
    <w:rsid w:val="002515F9"/>
    <w:rsid w:val="002536CE"/>
    <w:rsid w:val="00254216"/>
    <w:rsid w:val="0025512A"/>
    <w:rsid w:val="00255894"/>
    <w:rsid w:val="002574F4"/>
    <w:rsid w:val="00262768"/>
    <w:rsid w:val="00265006"/>
    <w:rsid w:val="002658A4"/>
    <w:rsid w:val="00273AC3"/>
    <w:rsid w:val="00274D29"/>
    <w:rsid w:val="00277F53"/>
    <w:rsid w:val="00281F88"/>
    <w:rsid w:val="002823BE"/>
    <w:rsid w:val="002829DD"/>
    <w:rsid w:val="00287C49"/>
    <w:rsid w:val="002904F9"/>
    <w:rsid w:val="00291665"/>
    <w:rsid w:val="00292896"/>
    <w:rsid w:val="002945C5"/>
    <w:rsid w:val="00295FF4"/>
    <w:rsid w:val="002A4354"/>
    <w:rsid w:val="002A5D57"/>
    <w:rsid w:val="002B056D"/>
    <w:rsid w:val="002B175A"/>
    <w:rsid w:val="002B196D"/>
    <w:rsid w:val="002B26BB"/>
    <w:rsid w:val="002B3AE2"/>
    <w:rsid w:val="002C1039"/>
    <w:rsid w:val="002C1946"/>
    <w:rsid w:val="002C27BC"/>
    <w:rsid w:val="002C3289"/>
    <w:rsid w:val="002C3B63"/>
    <w:rsid w:val="002C79A0"/>
    <w:rsid w:val="002D0D29"/>
    <w:rsid w:val="002D44AC"/>
    <w:rsid w:val="002D560B"/>
    <w:rsid w:val="002E0035"/>
    <w:rsid w:val="002E1685"/>
    <w:rsid w:val="002E7D03"/>
    <w:rsid w:val="002F7237"/>
    <w:rsid w:val="003036CA"/>
    <w:rsid w:val="0030419D"/>
    <w:rsid w:val="00306F50"/>
    <w:rsid w:val="00307532"/>
    <w:rsid w:val="00313416"/>
    <w:rsid w:val="00317164"/>
    <w:rsid w:val="0031726D"/>
    <w:rsid w:val="00320076"/>
    <w:rsid w:val="0032042B"/>
    <w:rsid w:val="003236E2"/>
    <w:rsid w:val="00326B09"/>
    <w:rsid w:val="003305BA"/>
    <w:rsid w:val="003306CC"/>
    <w:rsid w:val="00330EB4"/>
    <w:rsid w:val="003320D1"/>
    <w:rsid w:val="00333696"/>
    <w:rsid w:val="003358D3"/>
    <w:rsid w:val="003379A0"/>
    <w:rsid w:val="003408BE"/>
    <w:rsid w:val="0034238F"/>
    <w:rsid w:val="00343DA3"/>
    <w:rsid w:val="00346A32"/>
    <w:rsid w:val="00353301"/>
    <w:rsid w:val="00354916"/>
    <w:rsid w:val="003605AE"/>
    <w:rsid w:val="00360A4A"/>
    <w:rsid w:val="003617FE"/>
    <w:rsid w:val="0036244E"/>
    <w:rsid w:val="0036355C"/>
    <w:rsid w:val="00365CE9"/>
    <w:rsid w:val="0036778A"/>
    <w:rsid w:val="003705F4"/>
    <w:rsid w:val="0037127E"/>
    <w:rsid w:val="00375519"/>
    <w:rsid w:val="003771EA"/>
    <w:rsid w:val="003809BA"/>
    <w:rsid w:val="00386DDF"/>
    <w:rsid w:val="00387A3C"/>
    <w:rsid w:val="00390B36"/>
    <w:rsid w:val="00394544"/>
    <w:rsid w:val="00394E54"/>
    <w:rsid w:val="00395ED9"/>
    <w:rsid w:val="00396E16"/>
    <w:rsid w:val="003A243B"/>
    <w:rsid w:val="003A2F07"/>
    <w:rsid w:val="003A3257"/>
    <w:rsid w:val="003A3FEE"/>
    <w:rsid w:val="003A57D3"/>
    <w:rsid w:val="003B1101"/>
    <w:rsid w:val="003B4871"/>
    <w:rsid w:val="003B593F"/>
    <w:rsid w:val="003B6081"/>
    <w:rsid w:val="003C0F78"/>
    <w:rsid w:val="003C16A2"/>
    <w:rsid w:val="003C2B4B"/>
    <w:rsid w:val="003C5F4E"/>
    <w:rsid w:val="003D3331"/>
    <w:rsid w:val="003D561D"/>
    <w:rsid w:val="003E1445"/>
    <w:rsid w:val="003E2566"/>
    <w:rsid w:val="003E4009"/>
    <w:rsid w:val="003E7822"/>
    <w:rsid w:val="003F2313"/>
    <w:rsid w:val="003F58C8"/>
    <w:rsid w:val="00400E41"/>
    <w:rsid w:val="00402E64"/>
    <w:rsid w:val="00404077"/>
    <w:rsid w:val="0040412C"/>
    <w:rsid w:val="004053D3"/>
    <w:rsid w:val="004058C2"/>
    <w:rsid w:val="00410302"/>
    <w:rsid w:val="00410B04"/>
    <w:rsid w:val="00416195"/>
    <w:rsid w:val="00416B5D"/>
    <w:rsid w:val="00417A2C"/>
    <w:rsid w:val="00420C38"/>
    <w:rsid w:val="00422081"/>
    <w:rsid w:val="00432676"/>
    <w:rsid w:val="00441DDA"/>
    <w:rsid w:val="00442EED"/>
    <w:rsid w:val="0044549C"/>
    <w:rsid w:val="004473A8"/>
    <w:rsid w:val="0044753E"/>
    <w:rsid w:val="00451CE9"/>
    <w:rsid w:val="00452B6F"/>
    <w:rsid w:val="00456F57"/>
    <w:rsid w:val="00457DF5"/>
    <w:rsid w:val="00464268"/>
    <w:rsid w:val="00465141"/>
    <w:rsid w:val="004702F9"/>
    <w:rsid w:val="00471275"/>
    <w:rsid w:val="00471E5C"/>
    <w:rsid w:val="00473D11"/>
    <w:rsid w:val="00474DC9"/>
    <w:rsid w:val="0047503F"/>
    <w:rsid w:val="00475AE7"/>
    <w:rsid w:val="004813B4"/>
    <w:rsid w:val="00481B69"/>
    <w:rsid w:val="00483668"/>
    <w:rsid w:val="00485C38"/>
    <w:rsid w:val="00486D66"/>
    <w:rsid w:val="004944C3"/>
    <w:rsid w:val="00496B63"/>
    <w:rsid w:val="004A0E13"/>
    <w:rsid w:val="004A6DB4"/>
    <w:rsid w:val="004A7722"/>
    <w:rsid w:val="004B284B"/>
    <w:rsid w:val="004B767C"/>
    <w:rsid w:val="004C19FF"/>
    <w:rsid w:val="004C1F08"/>
    <w:rsid w:val="004C25B6"/>
    <w:rsid w:val="004C50D2"/>
    <w:rsid w:val="004C5606"/>
    <w:rsid w:val="004C78E3"/>
    <w:rsid w:val="004C7E29"/>
    <w:rsid w:val="004D0464"/>
    <w:rsid w:val="004D1033"/>
    <w:rsid w:val="004D2C6C"/>
    <w:rsid w:val="004D5686"/>
    <w:rsid w:val="004D7968"/>
    <w:rsid w:val="004D7A75"/>
    <w:rsid w:val="004E131E"/>
    <w:rsid w:val="004E1B4F"/>
    <w:rsid w:val="004E24DF"/>
    <w:rsid w:val="004E3B64"/>
    <w:rsid w:val="004E6219"/>
    <w:rsid w:val="004E6516"/>
    <w:rsid w:val="004E6E42"/>
    <w:rsid w:val="004F0113"/>
    <w:rsid w:val="004F2DF5"/>
    <w:rsid w:val="004F3549"/>
    <w:rsid w:val="004F52E3"/>
    <w:rsid w:val="004F741E"/>
    <w:rsid w:val="005010D7"/>
    <w:rsid w:val="00502FE8"/>
    <w:rsid w:val="00504132"/>
    <w:rsid w:val="005054CE"/>
    <w:rsid w:val="00505B82"/>
    <w:rsid w:val="00506808"/>
    <w:rsid w:val="00513254"/>
    <w:rsid w:val="00517424"/>
    <w:rsid w:val="00520732"/>
    <w:rsid w:val="00524B9B"/>
    <w:rsid w:val="00525720"/>
    <w:rsid w:val="005258CB"/>
    <w:rsid w:val="0052768F"/>
    <w:rsid w:val="00534BE1"/>
    <w:rsid w:val="00540FB5"/>
    <w:rsid w:val="005416E7"/>
    <w:rsid w:val="0054171A"/>
    <w:rsid w:val="00542A52"/>
    <w:rsid w:val="00545D94"/>
    <w:rsid w:val="00546CE1"/>
    <w:rsid w:val="005472BD"/>
    <w:rsid w:val="00553534"/>
    <w:rsid w:val="00554A7C"/>
    <w:rsid w:val="00556FF4"/>
    <w:rsid w:val="00562768"/>
    <w:rsid w:val="00564353"/>
    <w:rsid w:val="00564BF9"/>
    <w:rsid w:val="00565153"/>
    <w:rsid w:val="005669CE"/>
    <w:rsid w:val="00567354"/>
    <w:rsid w:val="00567F90"/>
    <w:rsid w:val="005760B2"/>
    <w:rsid w:val="005804A3"/>
    <w:rsid w:val="0058091C"/>
    <w:rsid w:val="0058093F"/>
    <w:rsid w:val="00581E7C"/>
    <w:rsid w:val="005837E0"/>
    <w:rsid w:val="00584F5C"/>
    <w:rsid w:val="00586198"/>
    <w:rsid w:val="005A2295"/>
    <w:rsid w:val="005A353E"/>
    <w:rsid w:val="005A6702"/>
    <w:rsid w:val="005A6FB2"/>
    <w:rsid w:val="005B0C9F"/>
    <w:rsid w:val="005B2328"/>
    <w:rsid w:val="005B2946"/>
    <w:rsid w:val="005B5159"/>
    <w:rsid w:val="005B7B9E"/>
    <w:rsid w:val="005C10E2"/>
    <w:rsid w:val="005C242A"/>
    <w:rsid w:val="005C2A79"/>
    <w:rsid w:val="005C5718"/>
    <w:rsid w:val="005C64F7"/>
    <w:rsid w:val="005D1404"/>
    <w:rsid w:val="005D1972"/>
    <w:rsid w:val="005E357E"/>
    <w:rsid w:val="005E68F5"/>
    <w:rsid w:val="005E7182"/>
    <w:rsid w:val="005F6CE6"/>
    <w:rsid w:val="0060155D"/>
    <w:rsid w:val="006018A7"/>
    <w:rsid w:val="0060243D"/>
    <w:rsid w:val="006101FE"/>
    <w:rsid w:val="00610C16"/>
    <w:rsid w:val="00617702"/>
    <w:rsid w:val="00621D9F"/>
    <w:rsid w:val="00623237"/>
    <w:rsid w:val="006237CC"/>
    <w:rsid w:val="0062650D"/>
    <w:rsid w:val="00630E43"/>
    <w:rsid w:val="006324DC"/>
    <w:rsid w:val="006343E7"/>
    <w:rsid w:val="00635062"/>
    <w:rsid w:val="00643129"/>
    <w:rsid w:val="00643249"/>
    <w:rsid w:val="00651877"/>
    <w:rsid w:val="00651E10"/>
    <w:rsid w:val="006540F2"/>
    <w:rsid w:val="006645EF"/>
    <w:rsid w:val="006652D5"/>
    <w:rsid w:val="00666220"/>
    <w:rsid w:val="00667243"/>
    <w:rsid w:val="00667867"/>
    <w:rsid w:val="00676CFF"/>
    <w:rsid w:val="00681802"/>
    <w:rsid w:val="00683B9B"/>
    <w:rsid w:val="00685CA4"/>
    <w:rsid w:val="00692186"/>
    <w:rsid w:val="00692C64"/>
    <w:rsid w:val="006934B0"/>
    <w:rsid w:val="00694493"/>
    <w:rsid w:val="00695B77"/>
    <w:rsid w:val="00695BED"/>
    <w:rsid w:val="00697FB3"/>
    <w:rsid w:val="006A0819"/>
    <w:rsid w:val="006A0B59"/>
    <w:rsid w:val="006A42EA"/>
    <w:rsid w:val="006A6AFF"/>
    <w:rsid w:val="006B1450"/>
    <w:rsid w:val="006B4777"/>
    <w:rsid w:val="006B564F"/>
    <w:rsid w:val="006C1C67"/>
    <w:rsid w:val="006C1F0E"/>
    <w:rsid w:val="006C2509"/>
    <w:rsid w:val="006C2534"/>
    <w:rsid w:val="006D037B"/>
    <w:rsid w:val="006D2AC6"/>
    <w:rsid w:val="006D2E46"/>
    <w:rsid w:val="006D2E6B"/>
    <w:rsid w:val="006D6886"/>
    <w:rsid w:val="006D75C1"/>
    <w:rsid w:val="006D7AAE"/>
    <w:rsid w:val="006E2096"/>
    <w:rsid w:val="006E23DE"/>
    <w:rsid w:val="006E3110"/>
    <w:rsid w:val="006F2275"/>
    <w:rsid w:val="006F2A34"/>
    <w:rsid w:val="006F2BC8"/>
    <w:rsid w:val="006F6495"/>
    <w:rsid w:val="006F7DE8"/>
    <w:rsid w:val="0070008A"/>
    <w:rsid w:val="00700465"/>
    <w:rsid w:val="00705D9C"/>
    <w:rsid w:val="0071104D"/>
    <w:rsid w:val="007114F7"/>
    <w:rsid w:val="00711959"/>
    <w:rsid w:val="00714757"/>
    <w:rsid w:val="00720FA2"/>
    <w:rsid w:val="00721EE7"/>
    <w:rsid w:val="00723129"/>
    <w:rsid w:val="007271D4"/>
    <w:rsid w:val="007324F1"/>
    <w:rsid w:val="007339DB"/>
    <w:rsid w:val="00734C77"/>
    <w:rsid w:val="007358AC"/>
    <w:rsid w:val="00736F02"/>
    <w:rsid w:val="00741F51"/>
    <w:rsid w:val="007420CA"/>
    <w:rsid w:val="00753BCB"/>
    <w:rsid w:val="00755170"/>
    <w:rsid w:val="00760C2B"/>
    <w:rsid w:val="00765082"/>
    <w:rsid w:val="00782B4F"/>
    <w:rsid w:val="007842D0"/>
    <w:rsid w:val="00784A6B"/>
    <w:rsid w:val="0078616C"/>
    <w:rsid w:val="00787545"/>
    <w:rsid w:val="00790BE9"/>
    <w:rsid w:val="00791B36"/>
    <w:rsid w:val="0079287D"/>
    <w:rsid w:val="00792B5D"/>
    <w:rsid w:val="00792CAB"/>
    <w:rsid w:val="007962AC"/>
    <w:rsid w:val="007967ED"/>
    <w:rsid w:val="00797088"/>
    <w:rsid w:val="007974E1"/>
    <w:rsid w:val="0079757D"/>
    <w:rsid w:val="007A0F50"/>
    <w:rsid w:val="007A14B9"/>
    <w:rsid w:val="007A4221"/>
    <w:rsid w:val="007B0078"/>
    <w:rsid w:val="007B0971"/>
    <w:rsid w:val="007B167F"/>
    <w:rsid w:val="007B1D31"/>
    <w:rsid w:val="007B5DE9"/>
    <w:rsid w:val="007C0913"/>
    <w:rsid w:val="007C314B"/>
    <w:rsid w:val="007C3587"/>
    <w:rsid w:val="007C48CE"/>
    <w:rsid w:val="007D0721"/>
    <w:rsid w:val="007D087F"/>
    <w:rsid w:val="007D0FAB"/>
    <w:rsid w:val="007D372D"/>
    <w:rsid w:val="007D51C0"/>
    <w:rsid w:val="007D54BF"/>
    <w:rsid w:val="007D5973"/>
    <w:rsid w:val="007D7FB0"/>
    <w:rsid w:val="007E0038"/>
    <w:rsid w:val="007E1AAE"/>
    <w:rsid w:val="007E22A1"/>
    <w:rsid w:val="007E2C68"/>
    <w:rsid w:val="007E3717"/>
    <w:rsid w:val="007E3878"/>
    <w:rsid w:val="007E4794"/>
    <w:rsid w:val="007F0684"/>
    <w:rsid w:val="007F0E75"/>
    <w:rsid w:val="007F2BD4"/>
    <w:rsid w:val="007F50E9"/>
    <w:rsid w:val="007F5176"/>
    <w:rsid w:val="0080013B"/>
    <w:rsid w:val="008004E2"/>
    <w:rsid w:val="00801730"/>
    <w:rsid w:val="00802CC7"/>
    <w:rsid w:val="00806A61"/>
    <w:rsid w:val="0081022A"/>
    <w:rsid w:val="00811C2D"/>
    <w:rsid w:val="00812B2A"/>
    <w:rsid w:val="00813E7D"/>
    <w:rsid w:val="00817063"/>
    <w:rsid w:val="008227E3"/>
    <w:rsid w:val="00822CFC"/>
    <w:rsid w:val="00823119"/>
    <w:rsid w:val="00824944"/>
    <w:rsid w:val="00824D90"/>
    <w:rsid w:val="00824DB6"/>
    <w:rsid w:val="00826AC2"/>
    <w:rsid w:val="0082709C"/>
    <w:rsid w:val="008318DA"/>
    <w:rsid w:val="00834A48"/>
    <w:rsid w:val="00834A52"/>
    <w:rsid w:val="00834B0E"/>
    <w:rsid w:val="00834EE3"/>
    <w:rsid w:val="0083686C"/>
    <w:rsid w:val="008419B2"/>
    <w:rsid w:val="00843549"/>
    <w:rsid w:val="00845525"/>
    <w:rsid w:val="008468BC"/>
    <w:rsid w:val="00846C66"/>
    <w:rsid w:val="00852C49"/>
    <w:rsid w:val="00853E73"/>
    <w:rsid w:val="00854E0F"/>
    <w:rsid w:val="00856C1E"/>
    <w:rsid w:val="00860BDD"/>
    <w:rsid w:val="00862525"/>
    <w:rsid w:val="0086488A"/>
    <w:rsid w:val="008660AE"/>
    <w:rsid w:val="0087081C"/>
    <w:rsid w:val="00872902"/>
    <w:rsid w:val="00876F38"/>
    <w:rsid w:val="008818B8"/>
    <w:rsid w:val="00890545"/>
    <w:rsid w:val="008926A2"/>
    <w:rsid w:val="008926EB"/>
    <w:rsid w:val="00894056"/>
    <w:rsid w:val="0089535F"/>
    <w:rsid w:val="008A2E39"/>
    <w:rsid w:val="008A354C"/>
    <w:rsid w:val="008A43F2"/>
    <w:rsid w:val="008A56FB"/>
    <w:rsid w:val="008A72B4"/>
    <w:rsid w:val="008A733C"/>
    <w:rsid w:val="008A7F47"/>
    <w:rsid w:val="008B0469"/>
    <w:rsid w:val="008B0481"/>
    <w:rsid w:val="008B4742"/>
    <w:rsid w:val="008B5744"/>
    <w:rsid w:val="008B6989"/>
    <w:rsid w:val="008B6F18"/>
    <w:rsid w:val="008B7BC7"/>
    <w:rsid w:val="008C1C5A"/>
    <w:rsid w:val="008C2C2F"/>
    <w:rsid w:val="008C4EE7"/>
    <w:rsid w:val="008C5741"/>
    <w:rsid w:val="008C5F1A"/>
    <w:rsid w:val="008C6751"/>
    <w:rsid w:val="008C6B05"/>
    <w:rsid w:val="008D1618"/>
    <w:rsid w:val="008D3FFD"/>
    <w:rsid w:val="008D536B"/>
    <w:rsid w:val="008D667B"/>
    <w:rsid w:val="008D6F01"/>
    <w:rsid w:val="008E0704"/>
    <w:rsid w:val="008E1B4C"/>
    <w:rsid w:val="008E6BDF"/>
    <w:rsid w:val="008F4FD9"/>
    <w:rsid w:val="008F5B34"/>
    <w:rsid w:val="008F666E"/>
    <w:rsid w:val="008F686D"/>
    <w:rsid w:val="0090118D"/>
    <w:rsid w:val="00903244"/>
    <w:rsid w:val="00907048"/>
    <w:rsid w:val="00913B54"/>
    <w:rsid w:val="009152B2"/>
    <w:rsid w:val="00915E6B"/>
    <w:rsid w:val="00922272"/>
    <w:rsid w:val="009233A2"/>
    <w:rsid w:val="009242AC"/>
    <w:rsid w:val="00924A08"/>
    <w:rsid w:val="00925115"/>
    <w:rsid w:val="0093039C"/>
    <w:rsid w:val="0093599A"/>
    <w:rsid w:val="0093673E"/>
    <w:rsid w:val="00940A7F"/>
    <w:rsid w:val="00943DFF"/>
    <w:rsid w:val="00945B80"/>
    <w:rsid w:val="00945E77"/>
    <w:rsid w:val="00945F76"/>
    <w:rsid w:val="0094747F"/>
    <w:rsid w:val="00950746"/>
    <w:rsid w:val="0095247C"/>
    <w:rsid w:val="00953AD7"/>
    <w:rsid w:val="00954D5E"/>
    <w:rsid w:val="00955430"/>
    <w:rsid w:val="00961AA7"/>
    <w:rsid w:val="0096214A"/>
    <w:rsid w:val="009621B5"/>
    <w:rsid w:val="00963D26"/>
    <w:rsid w:val="009648BC"/>
    <w:rsid w:val="00965BAA"/>
    <w:rsid w:val="00967737"/>
    <w:rsid w:val="009700A3"/>
    <w:rsid w:val="00973336"/>
    <w:rsid w:val="009737A3"/>
    <w:rsid w:val="00973C8D"/>
    <w:rsid w:val="00973D37"/>
    <w:rsid w:val="0097463A"/>
    <w:rsid w:val="00975007"/>
    <w:rsid w:val="00975E3C"/>
    <w:rsid w:val="00976652"/>
    <w:rsid w:val="00977986"/>
    <w:rsid w:val="00981180"/>
    <w:rsid w:val="009823B2"/>
    <w:rsid w:val="009857E4"/>
    <w:rsid w:val="009862D9"/>
    <w:rsid w:val="009904D8"/>
    <w:rsid w:val="00996921"/>
    <w:rsid w:val="009A075C"/>
    <w:rsid w:val="009A0ACD"/>
    <w:rsid w:val="009A1EA8"/>
    <w:rsid w:val="009A3A14"/>
    <w:rsid w:val="009B16BA"/>
    <w:rsid w:val="009B6541"/>
    <w:rsid w:val="009B677C"/>
    <w:rsid w:val="009C0105"/>
    <w:rsid w:val="009C5C32"/>
    <w:rsid w:val="009C7D3C"/>
    <w:rsid w:val="009C7FC2"/>
    <w:rsid w:val="009D0396"/>
    <w:rsid w:val="009D0E00"/>
    <w:rsid w:val="009D2860"/>
    <w:rsid w:val="009D6ABE"/>
    <w:rsid w:val="009D797C"/>
    <w:rsid w:val="009E4994"/>
    <w:rsid w:val="009F2927"/>
    <w:rsid w:val="009F2A83"/>
    <w:rsid w:val="00A059BC"/>
    <w:rsid w:val="00A069E4"/>
    <w:rsid w:val="00A12ED4"/>
    <w:rsid w:val="00A154A2"/>
    <w:rsid w:val="00A1704A"/>
    <w:rsid w:val="00A17A9E"/>
    <w:rsid w:val="00A21F56"/>
    <w:rsid w:val="00A22FA5"/>
    <w:rsid w:val="00A23510"/>
    <w:rsid w:val="00A25E3F"/>
    <w:rsid w:val="00A27C13"/>
    <w:rsid w:val="00A3121F"/>
    <w:rsid w:val="00A31D18"/>
    <w:rsid w:val="00A32552"/>
    <w:rsid w:val="00A34D1D"/>
    <w:rsid w:val="00A41068"/>
    <w:rsid w:val="00A42017"/>
    <w:rsid w:val="00A44ED3"/>
    <w:rsid w:val="00A459BC"/>
    <w:rsid w:val="00A45D4E"/>
    <w:rsid w:val="00A4616D"/>
    <w:rsid w:val="00A47B03"/>
    <w:rsid w:val="00A47FE2"/>
    <w:rsid w:val="00A53615"/>
    <w:rsid w:val="00A54E61"/>
    <w:rsid w:val="00A56229"/>
    <w:rsid w:val="00A56823"/>
    <w:rsid w:val="00A6068D"/>
    <w:rsid w:val="00A638E8"/>
    <w:rsid w:val="00A64C21"/>
    <w:rsid w:val="00A65337"/>
    <w:rsid w:val="00A66B98"/>
    <w:rsid w:val="00A67500"/>
    <w:rsid w:val="00A71362"/>
    <w:rsid w:val="00A73797"/>
    <w:rsid w:val="00A8036E"/>
    <w:rsid w:val="00A816D6"/>
    <w:rsid w:val="00A82A32"/>
    <w:rsid w:val="00A8538C"/>
    <w:rsid w:val="00A86F55"/>
    <w:rsid w:val="00A90B35"/>
    <w:rsid w:val="00AA480B"/>
    <w:rsid w:val="00AA69BD"/>
    <w:rsid w:val="00AA70A2"/>
    <w:rsid w:val="00AB07B8"/>
    <w:rsid w:val="00AB620A"/>
    <w:rsid w:val="00AB6D89"/>
    <w:rsid w:val="00AB71B2"/>
    <w:rsid w:val="00AB768F"/>
    <w:rsid w:val="00AC287D"/>
    <w:rsid w:val="00AD0CA3"/>
    <w:rsid w:val="00AD11A6"/>
    <w:rsid w:val="00AD3B26"/>
    <w:rsid w:val="00AD59EB"/>
    <w:rsid w:val="00AE23C7"/>
    <w:rsid w:val="00AE4843"/>
    <w:rsid w:val="00AE4B4C"/>
    <w:rsid w:val="00AE544F"/>
    <w:rsid w:val="00AE7F42"/>
    <w:rsid w:val="00AF01AF"/>
    <w:rsid w:val="00AF464F"/>
    <w:rsid w:val="00AF5656"/>
    <w:rsid w:val="00AF5854"/>
    <w:rsid w:val="00AF72AC"/>
    <w:rsid w:val="00AF7DFB"/>
    <w:rsid w:val="00B013CC"/>
    <w:rsid w:val="00B01BAD"/>
    <w:rsid w:val="00B04644"/>
    <w:rsid w:val="00B04844"/>
    <w:rsid w:val="00B05D29"/>
    <w:rsid w:val="00B07867"/>
    <w:rsid w:val="00B10520"/>
    <w:rsid w:val="00B1191A"/>
    <w:rsid w:val="00B16AF8"/>
    <w:rsid w:val="00B173F5"/>
    <w:rsid w:val="00B24129"/>
    <w:rsid w:val="00B242AE"/>
    <w:rsid w:val="00B2431F"/>
    <w:rsid w:val="00B24F27"/>
    <w:rsid w:val="00B25975"/>
    <w:rsid w:val="00B3105D"/>
    <w:rsid w:val="00B31CB3"/>
    <w:rsid w:val="00B35CB4"/>
    <w:rsid w:val="00B35CCD"/>
    <w:rsid w:val="00B360E1"/>
    <w:rsid w:val="00B40AEC"/>
    <w:rsid w:val="00B42B0A"/>
    <w:rsid w:val="00B4321A"/>
    <w:rsid w:val="00B437A8"/>
    <w:rsid w:val="00B448D5"/>
    <w:rsid w:val="00B50709"/>
    <w:rsid w:val="00B50C73"/>
    <w:rsid w:val="00B54614"/>
    <w:rsid w:val="00B57EE8"/>
    <w:rsid w:val="00B67F68"/>
    <w:rsid w:val="00B7005B"/>
    <w:rsid w:val="00B702CB"/>
    <w:rsid w:val="00B73035"/>
    <w:rsid w:val="00B7580B"/>
    <w:rsid w:val="00B86448"/>
    <w:rsid w:val="00B90B31"/>
    <w:rsid w:val="00B921A0"/>
    <w:rsid w:val="00B92372"/>
    <w:rsid w:val="00B93778"/>
    <w:rsid w:val="00B9661C"/>
    <w:rsid w:val="00BA0E30"/>
    <w:rsid w:val="00BA2B71"/>
    <w:rsid w:val="00BA3644"/>
    <w:rsid w:val="00BA7EB4"/>
    <w:rsid w:val="00BB03CB"/>
    <w:rsid w:val="00BB0A1A"/>
    <w:rsid w:val="00BB66C0"/>
    <w:rsid w:val="00BC0F0B"/>
    <w:rsid w:val="00BC2D58"/>
    <w:rsid w:val="00BD509B"/>
    <w:rsid w:val="00BD5198"/>
    <w:rsid w:val="00BE0215"/>
    <w:rsid w:val="00BE1FC9"/>
    <w:rsid w:val="00BE2F3E"/>
    <w:rsid w:val="00BE4F4D"/>
    <w:rsid w:val="00BE5654"/>
    <w:rsid w:val="00BE7CB4"/>
    <w:rsid w:val="00BF2D8B"/>
    <w:rsid w:val="00BF7C8E"/>
    <w:rsid w:val="00C01F35"/>
    <w:rsid w:val="00C0412F"/>
    <w:rsid w:val="00C1247C"/>
    <w:rsid w:val="00C14E4B"/>
    <w:rsid w:val="00C17773"/>
    <w:rsid w:val="00C240AE"/>
    <w:rsid w:val="00C249DC"/>
    <w:rsid w:val="00C262A0"/>
    <w:rsid w:val="00C26752"/>
    <w:rsid w:val="00C26940"/>
    <w:rsid w:val="00C33EEE"/>
    <w:rsid w:val="00C359B4"/>
    <w:rsid w:val="00C41D88"/>
    <w:rsid w:val="00C4203E"/>
    <w:rsid w:val="00C42B11"/>
    <w:rsid w:val="00C46028"/>
    <w:rsid w:val="00C46259"/>
    <w:rsid w:val="00C468BF"/>
    <w:rsid w:val="00C46B0B"/>
    <w:rsid w:val="00C7116B"/>
    <w:rsid w:val="00C722C5"/>
    <w:rsid w:val="00C72AFD"/>
    <w:rsid w:val="00C72F2B"/>
    <w:rsid w:val="00C737BD"/>
    <w:rsid w:val="00C74D12"/>
    <w:rsid w:val="00C76196"/>
    <w:rsid w:val="00C85038"/>
    <w:rsid w:val="00C90195"/>
    <w:rsid w:val="00C9118D"/>
    <w:rsid w:val="00C929B3"/>
    <w:rsid w:val="00C92BC0"/>
    <w:rsid w:val="00C9575A"/>
    <w:rsid w:val="00C95D8B"/>
    <w:rsid w:val="00C9737A"/>
    <w:rsid w:val="00CA1BC4"/>
    <w:rsid w:val="00CA2C79"/>
    <w:rsid w:val="00CA50E3"/>
    <w:rsid w:val="00CA5BB9"/>
    <w:rsid w:val="00CA5C81"/>
    <w:rsid w:val="00CA7508"/>
    <w:rsid w:val="00CA7E3A"/>
    <w:rsid w:val="00CA7EBB"/>
    <w:rsid w:val="00CB0430"/>
    <w:rsid w:val="00CB2A5B"/>
    <w:rsid w:val="00CB3308"/>
    <w:rsid w:val="00CB4AFA"/>
    <w:rsid w:val="00CB60EB"/>
    <w:rsid w:val="00CB7C0A"/>
    <w:rsid w:val="00CC1161"/>
    <w:rsid w:val="00CC4350"/>
    <w:rsid w:val="00CC4480"/>
    <w:rsid w:val="00CC7049"/>
    <w:rsid w:val="00CD1E19"/>
    <w:rsid w:val="00CD70B4"/>
    <w:rsid w:val="00CE0390"/>
    <w:rsid w:val="00CE2BE9"/>
    <w:rsid w:val="00CE49EE"/>
    <w:rsid w:val="00CE4D3C"/>
    <w:rsid w:val="00CE7966"/>
    <w:rsid w:val="00CF5B64"/>
    <w:rsid w:val="00CF60C4"/>
    <w:rsid w:val="00CF66CC"/>
    <w:rsid w:val="00D009FB"/>
    <w:rsid w:val="00D037F3"/>
    <w:rsid w:val="00D051EF"/>
    <w:rsid w:val="00D05D6D"/>
    <w:rsid w:val="00D10332"/>
    <w:rsid w:val="00D12C97"/>
    <w:rsid w:val="00D20FB4"/>
    <w:rsid w:val="00D210BC"/>
    <w:rsid w:val="00D21173"/>
    <w:rsid w:val="00D2160F"/>
    <w:rsid w:val="00D24AC4"/>
    <w:rsid w:val="00D254D3"/>
    <w:rsid w:val="00D270E2"/>
    <w:rsid w:val="00D2720E"/>
    <w:rsid w:val="00D35799"/>
    <w:rsid w:val="00D4008F"/>
    <w:rsid w:val="00D42B83"/>
    <w:rsid w:val="00D436A6"/>
    <w:rsid w:val="00D43B3A"/>
    <w:rsid w:val="00D44D68"/>
    <w:rsid w:val="00D50A00"/>
    <w:rsid w:val="00D5116E"/>
    <w:rsid w:val="00D55D46"/>
    <w:rsid w:val="00D574DB"/>
    <w:rsid w:val="00D63E25"/>
    <w:rsid w:val="00D73841"/>
    <w:rsid w:val="00D73E8C"/>
    <w:rsid w:val="00D749E9"/>
    <w:rsid w:val="00D770B3"/>
    <w:rsid w:val="00D8119C"/>
    <w:rsid w:val="00D82B82"/>
    <w:rsid w:val="00D84B2E"/>
    <w:rsid w:val="00D8628F"/>
    <w:rsid w:val="00D863D0"/>
    <w:rsid w:val="00D953CB"/>
    <w:rsid w:val="00DA1CEC"/>
    <w:rsid w:val="00DA779C"/>
    <w:rsid w:val="00DC0231"/>
    <w:rsid w:val="00DC16F2"/>
    <w:rsid w:val="00DC3B99"/>
    <w:rsid w:val="00DC65E9"/>
    <w:rsid w:val="00DC6A0D"/>
    <w:rsid w:val="00DD502C"/>
    <w:rsid w:val="00DD51B2"/>
    <w:rsid w:val="00DD5974"/>
    <w:rsid w:val="00DD69E0"/>
    <w:rsid w:val="00DE0A5B"/>
    <w:rsid w:val="00DE175B"/>
    <w:rsid w:val="00DE2371"/>
    <w:rsid w:val="00DE7F58"/>
    <w:rsid w:val="00DF2EC0"/>
    <w:rsid w:val="00DF5917"/>
    <w:rsid w:val="00E011BB"/>
    <w:rsid w:val="00E05531"/>
    <w:rsid w:val="00E05874"/>
    <w:rsid w:val="00E06398"/>
    <w:rsid w:val="00E12F64"/>
    <w:rsid w:val="00E13A89"/>
    <w:rsid w:val="00E13AF1"/>
    <w:rsid w:val="00E23A05"/>
    <w:rsid w:val="00E25159"/>
    <w:rsid w:val="00E251CC"/>
    <w:rsid w:val="00E25234"/>
    <w:rsid w:val="00E30781"/>
    <w:rsid w:val="00E34F37"/>
    <w:rsid w:val="00E43326"/>
    <w:rsid w:val="00E434B9"/>
    <w:rsid w:val="00E434EF"/>
    <w:rsid w:val="00E459A0"/>
    <w:rsid w:val="00E46632"/>
    <w:rsid w:val="00E46F98"/>
    <w:rsid w:val="00E5142B"/>
    <w:rsid w:val="00E54EAF"/>
    <w:rsid w:val="00E551D7"/>
    <w:rsid w:val="00E55C47"/>
    <w:rsid w:val="00E61CF2"/>
    <w:rsid w:val="00E627D8"/>
    <w:rsid w:val="00E70A05"/>
    <w:rsid w:val="00E72667"/>
    <w:rsid w:val="00E73E08"/>
    <w:rsid w:val="00E76F5F"/>
    <w:rsid w:val="00E77B74"/>
    <w:rsid w:val="00E8079B"/>
    <w:rsid w:val="00E83ECD"/>
    <w:rsid w:val="00E874D3"/>
    <w:rsid w:val="00E94E51"/>
    <w:rsid w:val="00E97EC4"/>
    <w:rsid w:val="00EA0138"/>
    <w:rsid w:val="00EA45BB"/>
    <w:rsid w:val="00EA79FE"/>
    <w:rsid w:val="00EB2F22"/>
    <w:rsid w:val="00EB562C"/>
    <w:rsid w:val="00EB7BAA"/>
    <w:rsid w:val="00EB7D62"/>
    <w:rsid w:val="00EC2640"/>
    <w:rsid w:val="00EC2BD6"/>
    <w:rsid w:val="00EC35E1"/>
    <w:rsid w:val="00ED1303"/>
    <w:rsid w:val="00ED3711"/>
    <w:rsid w:val="00ED4D80"/>
    <w:rsid w:val="00ED5E72"/>
    <w:rsid w:val="00EE1208"/>
    <w:rsid w:val="00EE1323"/>
    <w:rsid w:val="00EE3EDA"/>
    <w:rsid w:val="00EE4CEB"/>
    <w:rsid w:val="00EE4DED"/>
    <w:rsid w:val="00EE55C2"/>
    <w:rsid w:val="00EE5854"/>
    <w:rsid w:val="00EE625C"/>
    <w:rsid w:val="00EE7177"/>
    <w:rsid w:val="00EF2D19"/>
    <w:rsid w:val="00EF3AB1"/>
    <w:rsid w:val="00F00599"/>
    <w:rsid w:val="00F00A47"/>
    <w:rsid w:val="00F011CA"/>
    <w:rsid w:val="00F03D05"/>
    <w:rsid w:val="00F04128"/>
    <w:rsid w:val="00F057DD"/>
    <w:rsid w:val="00F12146"/>
    <w:rsid w:val="00F122A4"/>
    <w:rsid w:val="00F16649"/>
    <w:rsid w:val="00F232A1"/>
    <w:rsid w:val="00F2680E"/>
    <w:rsid w:val="00F2751C"/>
    <w:rsid w:val="00F3106F"/>
    <w:rsid w:val="00F40AF5"/>
    <w:rsid w:val="00F417DA"/>
    <w:rsid w:val="00F46559"/>
    <w:rsid w:val="00F5157A"/>
    <w:rsid w:val="00F526BF"/>
    <w:rsid w:val="00F5544E"/>
    <w:rsid w:val="00F558CD"/>
    <w:rsid w:val="00F55BD1"/>
    <w:rsid w:val="00F57125"/>
    <w:rsid w:val="00F60AED"/>
    <w:rsid w:val="00F6498C"/>
    <w:rsid w:val="00F65B95"/>
    <w:rsid w:val="00F67088"/>
    <w:rsid w:val="00F67270"/>
    <w:rsid w:val="00F67807"/>
    <w:rsid w:val="00F71498"/>
    <w:rsid w:val="00F71BD7"/>
    <w:rsid w:val="00F728D3"/>
    <w:rsid w:val="00F74EC1"/>
    <w:rsid w:val="00F824B2"/>
    <w:rsid w:val="00F8694C"/>
    <w:rsid w:val="00F87B58"/>
    <w:rsid w:val="00F905D1"/>
    <w:rsid w:val="00F91CFA"/>
    <w:rsid w:val="00F94F81"/>
    <w:rsid w:val="00F95038"/>
    <w:rsid w:val="00F95FFD"/>
    <w:rsid w:val="00F96895"/>
    <w:rsid w:val="00FA05F7"/>
    <w:rsid w:val="00FA1B45"/>
    <w:rsid w:val="00FA24F6"/>
    <w:rsid w:val="00FA4E2C"/>
    <w:rsid w:val="00FA5941"/>
    <w:rsid w:val="00FA7AD9"/>
    <w:rsid w:val="00FA7ADE"/>
    <w:rsid w:val="00FB0737"/>
    <w:rsid w:val="00FB0DBC"/>
    <w:rsid w:val="00FB16B5"/>
    <w:rsid w:val="00FB19D2"/>
    <w:rsid w:val="00FB323E"/>
    <w:rsid w:val="00FB3B7E"/>
    <w:rsid w:val="00FB57BC"/>
    <w:rsid w:val="00FC3DF6"/>
    <w:rsid w:val="00FC5D07"/>
    <w:rsid w:val="00FC6BFF"/>
    <w:rsid w:val="00FC73A5"/>
    <w:rsid w:val="00FC7731"/>
    <w:rsid w:val="00FD1CB3"/>
    <w:rsid w:val="00FD2DE2"/>
    <w:rsid w:val="00FD5B7F"/>
    <w:rsid w:val="00FE0507"/>
    <w:rsid w:val="00FE2308"/>
    <w:rsid w:val="00FE3D8E"/>
    <w:rsid w:val="00FE410E"/>
    <w:rsid w:val="00FF056F"/>
    <w:rsid w:val="00FF1EEC"/>
    <w:rsid w:val="00FF266D"/>
    <w:rsid w:val="00FF50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4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26"/>
    <w:rPr>
      <w:sz w:val="24"/>
      <w:szCs w:val="24"/>
    </w:rPr>
  </w:style>
  <w:style w:type="paragraph" w:styleId="Heading1">
    <w:name w:val="heading 1"/>
    <w:basedOn w:val="Normal"/>
    <w:next w:val="Normal"/>
    <w:link w:val="Heading1Char"/>
    <w:uiPriority w:val="9"/>
    <w:qFormat/>
    <w:rsid w:val="00963D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3D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6F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081"/>
    <w:pPr>
      <w:tabs>
        <w:tab w:val="center" w:pos="4513"/>
        <w:tab w:val="right" w:pos="9026"/>
      </w:tabs>
      <w:spacing w:after="0"/>
    </w:pPr>
  </w:style>
  <w:style w:type="character" w:customStyle="1" w:styleId="HeaderChar">
    <w:name w:val="Header Char"/>
    <w:basedOn w:val="DefaultParagraphFont"/>
    <w:link w:val="Header"/>
    <w:uiPriority w:val="99"/>
    <w:rsid w:val="00422081"/>
  </w:style>
  <w:style w:type="paragraph" w:styleId="Footer">
    <w:name w:val="footer"/>
    <w:basedOn w:val="Normal"/>
    <w:link w:val="FooterChar"/>
    <w:uiPriority w:val="99"/>
    <w:unhideWhenUsed/>
    <w:rsid w:val="00422081"/>
    <w:pPr>
      <w:tabs>
        <w:tab w:val="center" w:pos="4513"/>
        <w:tab w:val="right" w:pos="9026"/>
      </w:tabs>
      <w:spacing w:after="0"/>
    </w:pPr>
  </w:style>
  <w:style w:type="character" w:customStyle="1" w:styleId="FooterChar">
    <w:name w:val="Footer Char"/>
    <w:basedOn w:val="DefaultParagraphFont"/>
    <w:link w:val="Footer"/>
    <w:uiPriority w:val="99"/>
    <w:rsid w:val="00422081"/>
  </w:style>
  <w:style w:type="paragraph" w:styleId="ListParagraph">
    <w:name w:val="List Paragraph"/>
    <w:basedOn w:val="Normal"/>
    <w:uiPriority w:val="34"/>
    <w:qFormat/>
    <w:rsid w:val="00333696"/>
    <w:pPr>
      <w:contextualSpacing/>
    </w:pPr>
  </w:style>
  <w:style w:type="paragraph" w:styleId="BalloonText">
    <w:name w:val="Balloon Text"/>
    <w:basedOn w:val="Normal"/>
    <w:link w:val="BalloonTextChar"/>
    <w:uiPriority w:val="99"/>
    <w:semiHidden/>
    <w:unhideWhenUsed/>
    <w:rsid w:val="002A43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354"/>
    <w:rPr>
      <w:rFonts w:ascii="Tahoma" w:hAnsi="Tahoma" w:cs="Tahoma"/>
      <w:sz w:val="16"/>
      <w:szCs w:val="16"/>
    </w:rPr>
  </w:style>
  <w:style w:type="paragraph" w:styleId="FootnoteText">
    <w:name w:val="footnote text"/>
    <w:basedOn w:val="Normal"/>
    <w:link w:val="FootnoteTextChar"/>
    <w:uiPriority w:val="99"/>
    <w:unhideWhenUsed/>
    <w:rsid w:val="00306F50"/>
    <w:pPr>
      <w:spacing w:after="0"/>
    </w:pPr>
    <w:rPr>
      <w:sz w:val="20"/>
      <w:szCs w:val="20"/>
    </w:rPr>
  </w:style>
  <w:style w:type="character" w:customStyle="1" w:styleId="FootnoteTextChar">
    <w:name w:val="Footnote Text Char"/>
    <w:basedOn w:val="DefaultParagraphFont"/>
    <w:link w:val="FootnoteText"/>
    <w:uiPriority w:val="99"/>
    <w:rsid w:val="00306F50"/>
    <w:rPr>
      <w:sz w:val="20"/>
      <w:szCs w:val="20"/>
    </w:rPr>
  </w:style>
  <w:style w:type="character" w:styleId="FootnoteReference">
    <w:name w:val="footnote reference"/>
    <w:basedOn w:val="DefaultParagraphFont"/>
    <w:uiPriority w:val="99"/>
    <w:semiHidden/>
    <w:unhideWhenUsed/>
    <w:rsid w:val="00306F50"/>
    <w:rPr>
      <w:vertAlign w:val="superscript"/>
    </w:rPr>
  </w:style>
  <w:style w:type="character" w:customStyle="1" w:styleId="Heading1Char">
    <w:name w:val="Heading 1 Char"/>
    <w:basedOn w:val="DefaultParagraphFont"/>
    <w:link w:val="Heading1"/>
    <w:uiPriority w:val="9"/>
    <w:rsid w:val="00963D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3D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6FF4"/>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7C48CE"/>
    <w:rPr>
      <w:color w:val="0000FF" w:themeColor="hyperlink"/>
      <w:u w:val="single"/>
    </w:rPr>
  </w:style>
  <w:style w:type="character" w:styleId="CommentReference">
    <w:name w:val="annotation reference"/>
    <w:basedOn w:val="DefaultParagraphFont"/>
    <w:uiPriority w:val="99"/>
    <w:semiHidden/>
    <w:unhideWhenUsed/>
    <w:rsid w:val="00C33EEE"/>
    <w:rPr>
      <w:sz w:val="16"/>
      <w:szCs w:val="16"/>
    </w:rPr>
  </w:style>
  <w:style w:type="paragraph" w:styleId="CommentText">
    <w:name w:val="annotation text"/>
    <w:basedOn w:val="Normal"/>
    <w:link w:val="CommentTextChar"/>
    <w:uiPriority w:val="99"/>
    <w:semiHidden/>
    <w:unhideWhenUsed/>
    <w:rsid w:val="00C33EEE"/>
    <w:pPr>
      <w:spacing w:line="240" w:lineRule="auto"/>
    </w:pPr>
    <w:rPr>
      <w:sz w:val="20"/>
      <w:szCs w:val="20"/>
    </w:rPr>
  </w:style>
  <w:style w:type="character" w:customStyle="1" w:styleId="CommentTextChar">
    <w:name w:val="Comment Text Char"/>
    <w:basedOn w:val="DefaultParagraphFont"/>
    <w:link w:val="CommentText"/>
    <w:uiPriority w:val="99"/>
    <w:semiHidden/>
    <w:rsid w:val="00C33EEE"/>
    <w:rPr>
      <w:sz w:val="20"/>
      <w:szCs w:val="20"/>
    </w:rPr>
  </w:style>
  <w:style w:type="paragraph" w:styleId="CommentSubject">
    <w:name w:val="annotation subject"/>
    <w:basedOn w:val="CommentText"/>
    <w:next w:val="CommentText"/>
    <w:link w:val="CommentSubjectChar"/>
    <w:uiPriority w:val="99"/>
    <w:semiHidden/>
    <w:unhideWhenUsed/>
    <w:rsid w:val="00C33EEE"/>
    <w:rPr>
      <w:b/>
      <w:bCs/>
    </w:rPr>
  </w:style>
  <w:style w:type="character" w:customStyle="1" w:styleId="CommentSubjectChar">
    <w:name w:val="Comment Subject Char"/>
    <w:basedOn w:val="CommentTextChar"/>
    <w:link w:val="CommentSubject"/>
    <w:uiPriority w:val="99"/>
    <w:semiHidden/>
    <w:rsid w:val="00C33EEE"/>
    <w:rPr>
      <w:b/>
      <w:bCs/>
      <w:sz w:val="20"/>
      <w:szCs w:val="20"/>
    </w:rPr>
  </w:style>
  <w:style w:type="paragraph" w:styleId="Revision">
    <w:name w:val="Revision"/>
    <w:hidden/>
    <w:uiPriority w:val="99"/>
    <w:semiHidden/>
    <w:rsid w:val="004F2DF5"/>
    <w:pPr>
      <w:spacing w:after="0" w:line="240" w:lineRule="auto"/>
      <w:ind w:left="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4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26"/>
    <w:rPr>
      <w:sz w:val="24"/>
      <w:szCs w:val="24"/>
    </w:rPr>
  </w:style>
  <w:style w:type="paragraph" w:styleId="Heading1">
    <w:name w:val="heading 1"/>
    <w:basedOn w:val="Normal"/>
    <w:next w:val="Normal"/>
    <w:link w:val="Heading1Char"/>
    <w:uiPriority w:val="9"/>
    <w:qFormat/>
    <w:rsid w:val="00963D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3D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6F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081"/>
    <w:pPr>
      <w:tabs>
        <w:tab w:val="center" w:pos="4513"/>
        <w:tab w:val="right" w:pos="9026"/>
      </w:tabs>
      <w:spacing w:after="0"/>
    </w:pPr>
  </w:style>
  <w:style w:type="character" w:customStyle="1" w:styleId="HeaderChar">
    <w:name w:val="Header Char"/>
    <w:basedOn w:val="DefaultParagraphFont"/>
    <w:link w:val="Header"/>
    <w:uiPriority w:val="99"/>
    <w:rsid w:val="00422081"/>
  </w:style>
  <w:style w:type="paragraph" w:styleId="Footer">
    <w:name w:val="footer"/>
    <w:basedOn w:val="Normal"/>
    <w:link w:val="FooterChar"/>
    <w:uiPriority w:val="99"/>
    <w:unhideWhenUsed/>
    <w:rsid w:val="00422081"/>
    <w:pPr>
      <w:tabs>
        <w:tab w:val="center" w:pos="4513"/>
        <w:tab w:val="right" w:pos="9026"/>
      </w:tabs>
      <w:spacing w:after="0"/>
    </w:pPr>
  </w:style>
  <w:style w:type="character" w:customStyle="1" w:styleId="FooterChar">
    <w:name w:val="Footer Char"/>
    <w:basedOn w:val="DefaultParagraphFont"/>
    <w:link w:val="Footer"/>
    <w:uiPriority w:val="99"/>
    <w:rsid w:val="00422081"/>
  </w:style>
  <w:style w:type="paragraph" w:styleId="ListParagraph">
    <w:name w:val="List Paragraph"/>
    <w:basedOn w:val="Normal"/>
    <w:uiPriority w:val="34"/>
    <w:qFormat/>
    <w:rsid w:val="00333696"/>
    <w:pPr>
      <w:contextualSpacing/>
    </w:pPr>
  </w:style>
  <w:style w:type="paragraph" w:styleId="BalloonText">
    <w:name w:val="Balloon Text"/>
    <w:basedOn w:val="Normal"/>
    <w:link w:val="BalloonTextChar"/>
    <w:uiPriority w:val="99"/>
    <w:semiHidden/>
    <w:unhideWhenUsed/>
    <w:rsid w:val="002A43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354"/>
    <w:rPr>
      <w:rFonts w:ascii="Tahoma" w:hAnsi="Tahoma" w:cs="Tahoma"/>
      <w:sz w:val="16"/>
      <w:szCs w:val="16"/>
    </w:rPr>
  </w:style>
  <w:style w:type="paragraph" w:styleId="FootnoteText">
    <w:name w:val="footnote text"/>
    <w:basedOn w:val="Normal"/>
    <w:link w:val="FootnoteTextChar"/>
    <w:uiPriority w:val="99"/>
    <w:unhideWhenUsed/>
    <w:rsid w:val="00306F50"/>
    <w:pPr>
      <w:spacing w:after="0"/>
    </w:pPr>
    <w:rPr>
      <w:sz w:val="20"/>
      <w:szCs w:val="20"/>
    </w:rPr>
  </w:style>
  <w:style w:type="character" w:customStyle="1" w:styleId="FootnoteTextChar">
    <w:name w:val="Footnote Text Char"/>
    <w:basedOn w:val="DefaultParagraphFont"/>
    <w:link w:val="FootnoteText"/>
    <w:uiPriority w:val="99"/>
    <w:rsid w:val="00306F50"/>
    <w:rPr>
      <w:sz w:val="20"/>
      <w:szCs w:val="20"/>
    </w:rPr>
  </w:style>
  <w:style w:type="character" w:styleId="FootnoteReference">
    <w:name w:val="footnote reference"/>
    <w:basedOn w:val="DefaultParagraphFont"/>
    <w:uiPriority w:val="99"/>
    <w:semiHidden/>
    <w:unhideWhenUsed/>
    <w:rsid w:val="00306F50"/>
    <w:rPr>
      <w:vertAlign w:val="superscript"/>
    </w:rPr>
  </w:style>
  <w:style w:type="character" w:customStyle="1" w:styleId="Heading1Char">
    <w:name w:val="Heading 1 Char"/>
    <w:basedOn w:val="DefaultParagraphFont"/>
    <w:link w:val="Heading1"/>
    <w:uiPriority w:val="9"/>
    <w:rsid w:val="00963D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3D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6FF4"/>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7C48CE"/>
    <w:rPr>
      <w:color w:val="0000FF" w:themeColor="hyperlink"/>
      <w:u w:val="single"/>
    </w:rPr>
  </w:style>
  <w:style w:type="character" w:styleId="CommentReference">
    <w:name w:val="annotation reference"/>
    <w:basedOn w:val="DefaultParagraphFont"/>
    <w:uiPriority w:val="99"/>
    <w:semiHidden/>
    <w:unhideWhenUsed/>
    <w:rsid w:val="00C33EEE"/>
    <w:rPr>
      <w:sz w:val="16"/>
      <w:szCs w:val="16"/>
    </w:rPr>
  </w:style>
  <w:style w:type="paragraph" w:styleId="CommentText">
    <w:name w:val="annotation text"/>
    <w:basedOn w:val="Normal"/>
    <w:link w:val="CommentTextChar"/>
    <w:uiPriority w:val="99"/>
    <w:semiHidden/>
    <w:unhideWhenUsed/>
    <w:rsid w:val="00C33EEE"/>
    <w:pPr>
      <w:spacing w:line="240" w:lineRule="auto"/>
    </w:pPr>
    <w:rPr>
      <w:sz w:val="20"/>
      <w:szCs w:val="20"/>
    </w:rPr>
  </w:style>
  <w:style w:type="character" w:customStyle="1" w:styleId="CommentTextChar">
    <w:name w:val="Comment Text Char"/>
    <w:basedOn w:val="DefaultParagraphFont"/>
    <w:link w:val="CommentText"/>
    <w:uiPriority w:val="99"/>
    <w:semiHidden/>
    <w:rsid w:val="00C33EEE"/>
    <w:rPr>
      <w:sz w:val="20"/>
      <w:szCs w:val="20"/>
    </w:rPr>
  </w:style>
  <w:style w:type="paragraph" w:styleId="CommentSubject">
    <w:name w:val="annotation subject"/>
    <w:basedOn w:val="CommentText"/>
    <w:next w:val="CommentText"/>
    <w:link w:val="CommentSubjectChar"/>
    <w:uiPriority w:val="99"/>
    <w:semiHidden/>
    <w:unhideWhenUsed/>
    <w:rsid w:val="00C33EEE"/>
    <w:rPr>
      <w:b/>
      <w:bCs/>
    </w:rPr>
  </w:style>
  <w:style w:type="character" w:customStyle="1" w:styleId="CommentSubjectChar">
    <w:name w:val="Comment Subject Char"/>
    <w:basedOn w:val="CommentTextChar"/>
    <w:link w:val="CommentSubject"/>
    <w:uiPriority w:val="99"/>
    <w:semiHidden/>
    <w:rsid w:val="00C33EEE"/>
    <w:rPr>
      <w:b/>
      <w:bCs/>
      <w:sz w:val="20"/>
      <w:szCs w:val="20"/>
    </w:rPr>
  </w:style>
  <w:style w:type="paragraph" w:styleId="Revision">
    <w:name w:val="Revision"/>
    <w:hidden/>
    <w:uiPriority w:val="99"/>
    <w:semiHidden/>
    <w:rsid w:val="004F2DF5"/>
    <w:pPr>
      <w:spacing w:after="0" w:line="240" w:lineRule="auto"/>
      <w:ind w:lef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unstats.un.org/sdgs/iaeg-sdgs/" TargetMode="External"/><Relationship Id="rId1" Type="http://schemas.openxmlformats.org/officeDocument/2006/relationships/hyperlink" Target="http://un.org/sustainable-development/development-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0C8D5AB-5439-49B8-ABCB-37951FD5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5326</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Gorman</dc:creator>
  <cp:lastModifiedBy>Helpagein</cp:lastModifiedBy>
  <cp:revision>2</cp:revision>
  <cp:lastPrinted>2016-09-28T14:27:00Z</cp:lastPrinted>
  <dcterms:created xsi:type="dcterms:W3CDTF">2016-11-28T06:13:00Z</dcterms:created>
  <dcterms:modified xsi:type="dcterms:W3CDTF">2016-11-28T06:13:00Z</dcterms:modified>
</cp:coreProperties>
</file>